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166" w:rsidRPr="00A200C2" w:rsidRDefault="00121166" w:rsidP="00A200C2">
      <w:pPr>
        <w:rPr>
          <w:szCs w:val="24"/>
        </w:rPr>
      </w:pPr>
      <w:r w:rsidRPr="00A200C2">
        <w:rPr>
          <w:noProof/>
          <w:szCs w:val="24"/>
          <w:lang w:eastAsia="es-ES"/>
        </w:rPr>
        <mc:AlternateContent>
          <mc:Choice Requires="wps">
            <w:drawing>
              <wp:anchor distT="0" distB="0" distL="114300" distR="114300" simplePos="0" relativeHeight="251659264" behindDoc="0" locked="0" layoutInCell="1" allowOverlap="1" wp14:anchorId="1C2AF3D6" wp14:editId="36D9288B">
                <wp:simplePos x="0" y="0"/>
                <wp:positionH relativeFrom="column">
                  <wp:align>center</wp:align>
                </wp:positionH>
                <wp:positionV relativeFrom="paragraph">
                  <wp:posOffset>0</wp:posOffset>
                </wp:positionV>
                <wp:extent cx="5151120" cy="1403985"/>
                <wp:effectExtent l="0" t="0" r="11430" b="1778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20" cy="1403985"/>
                        </a:xfrm>
                        <a:prstGeom prst="rect">
                          <a:avLst/>
                        </a:prstGeom>
                        <a:solidFill>
                          <a:srgbClr val="FFFFFF"/>
                        </a:solidFill>
                        <a:ln w="9525">
                          <a:solidFill>
                            <a:srgbClr val="000000"/>
                          </a:solidFill>
                          <a:miter lim="800000"/>
                          <a:headEnd/>
                          <a:tailEnd/>
                        </a:ln>
                      </wps:spPr>
                      <wps:txbx>
                        <w:txbxContent>
                          <w:p w:rsidR="00121166" w:rsidRDefault="00121166" w:rsidP="00121166">
                            <w:pPr>
                              <w:jc w:val="center"/>
                            </w:pPr>
                            <w:r>
                              <w:t>DOCUMENTO RESPUESTA A LAS ALEGACIONES PRESENTADAS AL ACUERDO PLENARIO DEL AYUNTAMIENTO DE LA LINEA DE LA CONCEPCION CELEBRADO CON CARÁCTER ORDINARIO EL DÍA 8 DE JULIO DEL 2021 EN CUYO PUNT</w:t>
                            </w:r>
                            <w:r w:rsidR="007A28FB">
                              <w:t>O 2.6 DEL ORDEN DEL DÍA SE APRO</w:t>
                            </w:r>
                            <w:r>
                              <w:t>BÓ ACORDAR EL INICIO DEL PROCEDIMIENTO PARA LA CELEBRACIÓN DE UNA CONSULTA POPULAR DIRIGIDA AL CONJUNTO DE LOS CIUDADANOS Y CIUDADANAS DE LA LÍNEA DE LA CONCEPCIÓN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0;margin-top:0;width:405.6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">
                <v:textbox style="mso-fit-shape-to-text:t">
                  <w:txbxContent>
                    <w:p w:rsidR="00121166" w:rsidRDefault="00121166" w:rsidP="00121166">
                      <w:pPr>
                        <w:jc w:val="center"/>
                      </w:pPr>
                      <w:r>
                        <w:t>DOCUMENTO RESPUESTA A LAS ALEGACIONES PRESENTADAS AL ACUERDO PLENARIO DEL AYUNTAMIENTO DE LA LINEA DE LA CONCEPCION CELEBRADO CON CARÁCTER ORDINARIO EL DÍA 8 DE JULIO DEL 2021 EN CUYO PUNT</w:t>
                      </w:r>
                      <w:r w:rsidR="007A28FB">
                        <w:t>O 2.6 DEL ORDEN DEL DÍA SE APRO</w:t>
                      </w:r>
                      <w:r>
                        <w:t>BÓ ACORDAR EL INICIO DEL PROCEDIMIENTO PARA LA CELEBRACIÓN DE UNA CONSULTA POPULAR DIRIGIDA AL CONJUNTO DE LOS CIUDADANOS Y CIUDADANAS DE LA LÍNEA DE LA CONCEPCIÓN</w:t>
                      </w:r>
                    </w:p>
                  </w:txbxContent>
                </v:textbox>
              </v:shape>
            </w:pict>
          </mc:Fallback>
        </mc:AlternateContent>
      </w: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szCs w:val="24"/>
        </w:rPr>
      </w:pPr>
    </w:p>
    <w:p w:rsidR="00121166" w:rsidRPr="00A200C2" w:rsidRDefault="00121166" w:rsidP="00A200C2">
      <w:pPr>
        <w:rPr>
          <w:rFonts w:cs="Arial"/>
          <w:szCs w:val="24"/>
        </w:rPr>
      </w:pPr>
      <w:r w:rsidRPr="00A200C2">
        <w:rPr>
          <w:rFonts w:cs="Arial"/>
          <w:szCs w:val="24"/>
        </w:rPr>
        <w:t xml:space="preserve">Con fecha 14 de julio de 2021 le ha sido notificada </w:t>
      </w:r>
      <w:r w:rsidR="007A28A1" w:rsidRPr="00A200C2">
        <w:rPr>
          <w:rFonts w:cs="Arial"/>
          <w:szCs w:val="24"/>
        </w:rPr>
        <w:t xml:space="preserve">a LA DELEGADA DEL GOBIERNO DE LA JUNTA DE ANDALUCÍA EN CÁDIZ, </w:t>
      </w:r>
      <w:r w:rsidRPr="00A200C2">
        <w:rPr>
          <w:rFonts w:cs="Arial"/>
          <w:szCs w:val="24"/>
        </w:rPr>
        <w:t>certificación del Acuerdo de sesión plenaria</w:t>
      </w:r>
      <w:r w:rsidR="007A28A1" w:rsidRPr="00A200C2">
        <w:rPr>
          <w:rFonts w:cs="Arial"/>
          <w:szCs w:val="24"/>
        </w:rPr>
        <w:t xml:space="preserve"> </w:t>
      </w:r>
      <w:r w:rsidRPr="00A200C2">
        <w:rPr>
          <w:rFonts w:cs="Arial"/>
          <w:szCs w:val="24"/>
        </w:rPr>
        <w:t>celebrada con carácter ordinario el día 8 de julio del 2021 en cuyo punto 2.6 del orden del día</w:t>
      </w:r>
      <w:r w:rsidR="007A28A1" w:rsidRPr="00A200C2">
        <w:rPr>
          <w:rFonts w:cs="Arial"/>
          <w:szCs w:val="24"/>
        </w:rPr>
        <w:t xml:space="preserve"> se aprobó</w:t>
      </w:r>
      <w:r w:rsidRPr="00A200C2">
        <w:rPr>
          <w:rFonts w:cs="Arial"/>
          <w:szCs w:val="24"/>
        </w:rPr>
        <w:t>:</w:t>
      </w:r>
    </w:p>
    <w:p w:rsidR="00121166" w:rsidRPr="00A200C2" w:rsidRDefault="00121166" w:rsidP="00A200C2">
      <w:pPr>
        <w:rPr>
          <w:rFonts w:cs="Arial"/>
          <w:szCs w:val="24"/>
        </w:rPr>
      </w:pPr>
      <w:r w:rsidRPr="00A200C2">
        <w:rPr>
          <w:rFonts w:cs="Arial"/>
          <w:szCs w:val="24"/>
        </w:rPr>
        <w:t>“Primero.- Acordar, de conformidad con los antecedentes que se exponen, el inicio del</w:t>
      </w:r>
      <w:r w:rsidR="007A28A1" w:rsidRPr="00A200C2">
        <w:rPr>
          <w:rFonts w:cs="Arial"/>
          <w:szCs w:val="24"/>
        </w:rPr>
        <w:t xml:space="preserve"> </w:t>
      </w:r>
      <w:r w:rsidRPr="00A200C2">
        <w:rPr>
          <w:rFonts w:cs="Arial"/>
          <w:szCs w:val="24"/>
        </w:rPr>
        <w:t>procedimiento para la celebración de una consulta popular dirigida al conjunto de los ciudadanos</w:t>
      </w:r>
      <w:r w:rsidR="007A28A1" w:rsidRPr="00A200C2">
        <w:rPr>
          <w:rFonts w:cs="Arial"/>
          <w:szCs w:val="24"/>
        </w:rPr>
        <w:t xml:space="preserve"> </w:t>
      </w:r>
      <w:r w:rsidRPr="00A200C2">
        <w:rPr>
          <w:rFonts w:cs="Arial"/>
          <w:szCs w:val="24"/>
        </w:rPr>
        <w:t>y ciudadanas de la Línea de la Concepción que formen el censo electoral, a fin de que puedan</w:t>
      </w:r>
      <w:r w:rsidR="007A28A1" w:rsidRPr="00A200C2">
        <w:rPr>
          <w:rFonts w:cs="Arial"/>
          <w:szCs w:val="24"/>
        </w:rPr>
        <w:t xml:space="preserve"> </w:t>
      </w:r>
      <w:r w:rsidRPr="00A200C2">
        <w:rPr>
          <w:rFonts w:cs="Arial"/>
          <w:szCs w:val="24"/>
        </w:rPr>
        <w:t>responder a la siguiente pregunta objeto de consulta:</w:t>
      </w:r>
    </w:p>
    <w:p w:rsidR="00121166" w:rsidRPr="00A200C2" w:rsidRDefault="00121166" w:rsidP="00A200C2">
      <w:pPr>
        <w:rPr>
          <w:rFonts w:cs="Arial"/>
          <w:szCs w:val="24"/>
        </w:rPr>
      </w:pPr>
      <w:r w:rsidRPr="00A200C2">
        <w:rPr>
          <w:rFonts w:cs="Arial"/>
          <w:szCs w:val="24"/>
        </w:rPr>
        <w:t>“¿Cree usted conveniente que el Ayuntamiento de la Línea de la Concepción eleve al Gobierno</w:t>
      </w:r>
      <w:r w:rsidR="007A28A1" w:rsidRPr="00A200C2">
        <w:rPr>
          <w:rFonts w:cs="Arial"/>
          <w:szCs w:val="24"/>
        </w:rPr>
        <w:t xml:space="preserve"> </w:t>
      </w:r>
      <w:r w:rsidRPr="00A200C2">
        <w:rPr>
          <w:rFonts w:cs="Arial"/>
          <w:szCs w:val="24"/>
        </w:rPr>
        <w:t>de la Nación y a las Cortes Generales una petición para instar la conversión del municipio</w:t>
      </w:r>
      <w:r w:rsidR="007A28A1" w:rsidRPr="00A200C2">
        <w:rPr>
          <w:rFonts w:cs="Arial"/>
          <w:szCs w:val="24"/>
        </w:rPr>
        <w:t xml:space="preserve"> </w:t>
      </w:r>
      <w:r w:rsidRPr="00A200C2">
        <w:rPr>
          <w:rFonts w:cs="Arial"/>
          <w:szCs w:val="24"/>
        </w:rPr>
        <w:t>en comunidad autónoma de acuerdo con lo establecido en el artículo 144 a) de la Constitución</w:t>
      </w:r>
      <w:r w:rsidR="007A28A1" w:rsidRPr="00A200C2">
        <w:rPr>
          <w:rFonts w:cs="Arial"/>
          <w:szCs w:val="24"/>
        </w:rPr>
        <w:t xml:space="preserve"> </w:t>
      </w:r>
      <w:r w:rsidRPr="00A200C2">
        <w:rPr>
          <w:rFonts w:cs="Arial"/>
          <w:szCs w:val="24"/>
        </w:rPr>
        <w:t>Española?”</w:t>
      </w:r>
    </w:p>
    <w:p w:rsidR="00121166" w:rsidRPr="00A200C2" w:rsidRDefault="00121166" w:rsidP="00A200C2">
      <w:pPr>
        <w:rPr>
          <w:rFonts w:cs="Arial"/>
          <w:szCs w:val="24"/>
        </w:rPr>
      </w:pPr>
      <w:r w:rsidRPr="00A200C2">
        <w:rPr>
          <w:rFonts w:cs="Arial"/>
          <w:szCs w:val="24"/>
        </w:rPr>
        <w:t>Segundo.- Aprobar expresamente la Memoria Justificativa elaborada por el Sr. Alcalde</w:t>
      </w:r>
      <w:r w:rsidR="007A28A1" w:rsidRPr="00A200C2">
        <w:rPr>
          <w:rFonts w:cs="Arial"/>
          <w:szCs w:val="24"/>
        </w:rPr>
        <w:t xml:space="preserve"> </w:t>
      </w:r>
      <w:r w:rsidRPr="00A200C2">
        <w:rPr>
          <w:rFonts w:cs="Arial"/>
          <w:szCs w:val="24"/>
        </w:rPr>
        <w:t>de fecha 5/03/2020 y los Anexos I, II, III; IV que incorpora, que forman parte en toda su integridad</w:t>
      </w:r>
      <w:r w:rsidR="007A28A1" w:rsidRPr="00A200C2">
        <w:rPr>
          <w:rFonts w:cs="Arial"/>
          <w:szCs w:val="24"/>
        </w:rPr>
        <w:t xml:space="preserve"> </w:t>
      </w:r>
      <w:r w:rsidRPr="00A200C2">
        <w:rPr>
          <w:rFonts w:cs="Arial"/>
          <w:szCs w:val="24"/>
        </w:rPr>
        <w:t>del presente acuerdo incorporándose al mismo, a efectos de su motivación en los términos del</w:t>
      </w:r>
      <w:r w:rsidR="007A28A1" w:rsidRPr="00A200C2">
        <w:rPr>
          <w:rFonts w:cs="Arial"/>
          <w:szCs w:val="24"/>
        </w:rPr>
        <w:t xml:space="preserve"> </w:t>
      </w:r>
      <w:r w:rsidRPr="00A200C2">
        <w:rPr>
          <w:rFonts w:cs="Arial"/>
          <w:szCs w:val="24"/>
        </w:rPr>
        <w:t>artículo 88.6 de la Ley 39/2015, del Procedimiento Administrativo Común de las Administraciones</w:t>
      </w:r>
      <w:r w:rsidR="007A28A1" w:rsidRPr="00A200C2">
        <w:rPr>
          <w:rFonts w:cs="Arial"/>
          <w:szCs w:val="24"/>
        </w:rPr>
        <w:t xml:space="preserve"> </w:t>
      </w:r>
      <w:r w:rsidRPr="00A200C2">
        <w:rPr>
          <w:rFonts w:cs="Arial"/>
          <w:szCs w:val="24"/>
        </w:rPr>
        <w:t>Públicas.</w:t>
      </w:r>
    </w:p>
    <w:p w:rsidR="007A28A1" w:rsidRPr="00A200C2" w:rsidRDefault="00121166" w:rsidP="00A200C2">
      <w:pPr>
        <w:rPr>
          <w:rFonts w:cs="Arial"/>
          <w:szCs w:val="24"/>
        </w:rPr>
      </w:pPr>
      <w:r w:rsidRPr="00A200C2">
        <w:rPr>
          <w:rFonts w:cs="Arial"/>
          <w:szCs w:val="24"/>
        </w:rPr>
        <w:t>Tercero.- Someter el presente Acuerdo y la Memoria Justificativa de 5/03/2020 y sus</w:t>
      </w:r>
      <w:r w:rsidR="007A28A1" w:rsidRPr="00A200C2">
        <w:rPr>
          <w:rFonts w:cs="Arial"/>
          <w:szCs w:val="24"/>
        </w:rPr>
        <w:t xml:space="preserve"> </w:t>
      </w:r>
      <w:r w:rsidRPr="00A200C2">
        <w:rPr>
          <w:rFonts w:cs="Arial"/>
          <w:szCs w:val="24"/>
        </w:rPr>
        <w:t>Anexos a información pública, por un periodo de 20 días hábiles, mediante publicación oficial</w:t>
      </w:r>
      <w:r w:rsidR="007A28A1" w:rsidRPr="00A200C2">
        <w:rPr>
          <w:rFonts w:cs="Arial"/>
          <w:szCs w:val="24"/>
        </w:rPr>
        <w:t xml:space="preserve"> </w:t>
      </w:r>
      <w:r w:rsidRPr="00A200C2">
        <w:rPr>
          <w:rFonts w:cs="Arial"/>
          <w:szCs w:val="24"/>
        </w:rPr>
        <w:t>en el Boletín Oficial de la Provincia, en el Boletín Oficial de la junta de Andalucía y en la página</w:t>
      </w:r>
      <w:r w:rsidR="007A28A1" w:rsidRPr="00A200C2">
        <w:rPr>
          <w:rFonts w:cs="Arial"/>
          <w:szCs w:val="24"/>
        </w:rPr>
        <w:t xml:space="preserve"> </w:t>
      </w:r>
      <w:r w:rsidRPr="00A200C2">
        <w:rPr>
          <w:rFonts w:cs="Arial"/>
          <w:szCs w:val="24"/>
        </w:rPr>
        <w:t>web corporativa www.lalinea.es, para que cualquier persona física o jurídica pueda efectuar las</w:t>
      </w:r>
      <w:r w:rsidR="007A28A1" w:rsidRPr="00A200C2">
        <w:rPr>
          <w:rFonts w:cs="Arial"/>
          <w:szCs w:val="24"/>
        </w:rPr>
        <w:t xml:space="preserve"> </w:t>
      </w:r>
      <w:r w:rsidRPr="00A200C2">
        <w:rPr>
          <w:rFonts w:cs="Arial"/>
          <w:szCs w:val="24"/>
        </w:rPr>
        <w:t>alegaciones que considere procedentes y, simultáneamente comunicar el presente Acuerdo y</w:t>
      </w:r>
      <w:r w:rsidR="007A28A1" w:rsidRPr="00A200C2">
        <w:rPr>
          <w:rFonts w:cs="Arial"/>
          <w:szCs w:val="24"/>
        </w:rPr>
        <w:t xml:space="preserve"> </w:t>
      </w:r>
      <w:r w:rsidRPr="00A200C2">
        <w:rPr>
          <w:rFonts w:cs="Arial"/>
          <w:szCs w:val="24"/>
        </w:rPr>
        <w:t>la documentación que incorpora a la Delegación del Gobierno de la Junta de Andalucía en Cádiz,</w:t>
      </w:r>
      <w:r w:rsidR="007A28A1" w:rsidRPr="00A200C2">
        <w:rPr>
          <w:rFonts w:cs="Arial"/>
          <w:szCs w:val="24"/>
        </w:rPr>
        <w:t xml:space="preserve"> </w:t>
      </w:r>
      <w:r w:rsidRPr="00A200C2">
        <w:rPr>
          <w:rFonts w:cs="Arial"/>
          <w:szCs w:val="24"/>
        </w:rPr>
        <w:t>para que en el plazo de quince días hábiles, también puedan formular alegaciones.”</w:t>
      </w:r>
    </w:p>
    <w:p w:rsidR="007A28A1" w:rsidRPr="00A200C2" w:rsidRDefault="007A28A1" w:rsidP="00A200C2">
      <w:pPr>
        <w:rPr>
          <w:rFonts w:cs="Arial"/>
          <w:szCs w:val="24"/>
        </w:rPr>
      </w:pPr>
    </w:p>
    <w:p w:rsidR="007A28A1" w:rsidRPr="00A200C2" w:rsidRDefault="00121166" w:rsidP="009846C2">
      <w:pPr>
        <w:rPr>
          <w:rFonts w:cs="Arial"/>
          <w:szCs w:val="24"/>
        </w:rPr>
      </w:pPr>
      <w:r w:rsidRPr="00A200C2">
        <w:rPr>
          <w:rFonts w:cs="Arial"/>
          <w:szCs w:val="24"/>
        </w:rPr>
        <w:t>En dicho trámite</w:t>
      </w:r>
      <w:r w:rsidR="007A28A1" w:rsidRPr="00A200C2">
        <w:rPr>
          <w:rFonts w:cs="Arial"/>
          <w:szCs w:val="24"/>
        </w:rPr>
        <w:t xml:space="preserve">, que también se ha publicado en los Boletines oficiales de la Provincia de Cádiz y de la Junta de Andalucía, </w:t>
      </w:r>
      <w:r w:rsidRPr="00A200C2">
        <w:rPr>
          <w:rFonts w:cs="Arial"/>
          <w:szCs w:val="24"/>
        </w:rPr>
        <w:t xml:space="preserve">se han recibido alegaciones de </w:t>
      </w:r>
      <w:r w:rsidR="007A28A1" w:rsidRPr="00A200C2">
        <w:rPr>
          <w:rFonts w:cs="Arial"/>
          <w:szCs w:val="24"/>
        </w:rPr>
        <w:t>LA DELEGADA DEL GOBIERNO DE LA JUNTA DE ANDALUCÍA EN CÁDIZ</w:t>
      </w:r>
      <w:r w:rsidR="006E240E" w:rsidRPr="00A200C2">
        <w:rPr>
          <w:rFonts w:cs="Arial"/>
          <w:szCs w:val="24"/>
        </w:rPr>
        <w:t>, que han tenido entrada en el Registro General del Ayuntamiento de La Línea de la Concepción, el 02/08/21</w:t>
      </w:r>
      <w:r w:rsidR="009846C2">
        <w:rPr>
          <w:rFonts w:cs="Arial"/>
          <w:szCs w:val="24"/>
        </w:rPr>
        <w:t xml:space="preserve">, por la </w:t>
      </w:r>
      <w:r w:rsidR="009846C2" w:rsidRPr="009846C2">
        <w:rPr>
          <w:rFonts w:cs="Arial"/>
          <w:szCs w:val="24"/>
        </w:rPr>
        <w:t>SUBDELEGACIÓN DEL GOBIERNO</w:t>
      </w:r>
      <w:r w:rsidR="009846C2">
        <w:rPr>
          <w:rFonts w:cs="Arial"/>
          <w:szCs w:val="24"/>
        </w:rPr>
        <w:t xml:space="preserve"> EN CÁDIZ, quien</w:t>
      </w:r>
      <w:r w:rsidR="009846C2" w:rsidRPr="009846C2">
        <w:rPr>
          <w:rFonts w:cs="Arial"/>
          <w:szCs w:val="24"/>
        </w:rPr>
        <w:t xml:space="preserve"> ha tenido conocimiento del inicio de un expediente para la celebración</w:t>
      </w:r>
      <w:r w:rsidR="009846C2">
        <w:rPr>
          <w:rFonts w:cs="Arial"/>
          <w:szCs w:val="24"/>
        </w:rPr>
        <w:t xml:space="preserve"> </w:t>
      </w:r>
      <w:r w:rsidR="009846C2" w:rsidRPr="009846C2">
        <w:rPr>
          <w:rFonts w:cs="Arial"/>
          <w:szCs w:val="24"/>
        </w:rPr>
        <w:t>de consulta popular sobre la conversión del municipio de La Línea de la Concepción en</w:t>
      </w:r>
      <w:r w:rsidR="009846C2">
        <w:rPr>
          <w:rFonts w:cs="Arial"/>
          <w:szCs w:val="24"/>
        </w:rPr>
        <w:t xml:space="preserve"> </w:t>
      </w:r>
      <w:r w:rsidR="009846C2" w:rsidRPr="009846C2">
        <w:rPr>
          <w:rFonts w:cs="Arial"/>
          <w:szCs w:val="24"/>
        </w:rPr>
        <w:t xml:space="preserve">ciudad/comunidad autónoma, por </w:t>
      </w:r>
      <w:r w:rsidR="009846C2">
        <w:rPr>
          <w:rFonts w:cs="Arial"/>
          <w:szCs w:val="24"/>
        </w:rPr>
        <w:t>lo</w:t>
      </w:r>
      <w:r w:rsidR="009846C2" w:rsidRPr="009846C2">
        <w:rPr>
          <w:rFonts w:cs="Arial"/>
          <w:szCs w:val="24"/>
        </w:rPr>
        <w:t xml:space="preserve"> publicado en el Boletín Oficial de la Junta de Andalucía</w:t>
      </w:r>
      <w:r w:rsidR="009846C2">
        <w:rPr>
          <w:rFonts w:cs="Arial"/>
          <w:szCs w:val="24"/>
        </w:rPr>
        <w:t xml:space="preserve"> </w:t>
      </w:r>
      <w:r w:rsidR="009846C2" w:rsidRPr="009846C2">
        <w:rPr>
          <w:rFonts w:cs="Arial"/>
          <w:szCs w:val="24"/>
        </w:rPr>
        <w:t xml:space="preserve">con fecha de 14 de septiembre de 2021 (n.º 177 , pág. 679). </w:t>
      </w:r>
    </w:p>
    <w:p w:rsidR="007A28A1" w:rsidRPr="00A200C2" w:rsidRDefault="007A28A1" w:rsidP="00A200C2">
      <w:pPr>
        <w:rPr>
          <w:rFonts w:cs="Arial"/>
          <w:szCs w:val="24"/>
        </w:rPr>
      </w:pPr>
    </w:p>
    <w:p w:rsidR="00121166" w:rsidRPr="00A200C2" w:rsidRDefault="00121166" w:rsidP="00A200C2">
      <w:pPr>
        <w:rPr>
          <w:rFonts w:cs="Arial"/>
          <w:szCs w:val="24"/>
        </w:rPr>
      </w:pPr>
      <w:r w:rsidRPr="00A200C2">
        <w:rPr>
          <w:rFonts w:cs="Arial"/>
          <w:szCs w:val="24"/>
        </w:rPr>
        <w:t xml:space="preserve"> En relación a las mismas se señala lo siguiente:</w:t>
      </w:r>
    </w:p>
    <w:p w:rsidR="00121166" w:rsidRPr="00A200C2" w:rsidRDefault="009846C2" w:rsidP="009846C2">
      <w:pPr>
        <w:jc w:val="center"/>
        <w:rPr>
          <w:rFonts w:cs="Arial"/>
          <w:szCs w:val="24"/>
        </w:rPr>
      </w:pPr>
      <w:r>
        <w:rPr>
          <w:rFonts w:cs="Arial"/>
          <w:szCs w:val="24"/>
        </w:rPr>
        <w:lastRenderedPageBreak/>
        <w:t xml:space="preserve">A </w:t>
      </w:r>
      <w:r w:rsidRPr="009846C2">
        <w:rPr>
          <w:rFonts w:cs="Arial"/>
          <w:szCs w:val="24"/>
        </w:rPr>
        <w:t>LA DELEGADA DEL GOBIERNO DE LA JUNTA DE ANDALUCÍA EN CÁDIZ</w:t>
      </w:r>
    </w:p>
    <w:p w:rsidR="00121166" w:rsidRPr="00A200C2" w:rsidRDefault="00121166" w:rsidP="00A200C2">
      <w:pPr>
        <w:rPr>
          <w:rFonts w:cs="Arial"/>
          <w:szCs w:val="24"/>
        </w:rPr>
      </w:pPr>
    </w:p>
    <w:p w:rsidR="00CF4651" w:rsidRPr="00A200C2" w:rsidRDefault="00A4150D" w:rsidP="00A200C2">
      <w:pPr>
        <w:rPr>
          <w:rFonts w:cs="Arial"/>
          <w:szCs w:val="24"/>
        </w:rPr>
      </w:pPr>
      <w:r w:rsidRPr="00A200C2">
        <w:rPr>
          <w:rFonts w:cs="Arial"/>
          <w:szCs w:val="24"/>
        </w:rPr>
        <w:t>1.- La Delegada de la Junta</w:t>
      </w:r>
      <w:r w:rsidR="0098222F" w:rsidRPr="00A200C2">
        <w:rPr>
          <w:rFonts w:cs="Arial"/>
          <w:szCs w:val="24"/>
        </w:rPr>
        <w:t xml:space="preserve"> en Cádiz, </w:t>
      </w:r>
      <w:r w:rsidRPr="00A200C2">
        <w:rPr>
          <w:rFonts w:cs="Arial"/>
          <w:szCs w:val="24"/>
        </w:rPr>
        <w:t xml:space="preserve">tras exponer que </w:t>
      </w:r>
      <w:r w:rsidR="0098222F" w:rsidRPr="00A200C2">
        <w:rPr>
          <w:rFonts w:cs="Arial"/>
          <w:szCs w:val="24"/>
        </w:rPr>
        <w:t>dentro del plazo legalmente establecido, la Delegación del Gobierno a la que representa se opone a la consulta popular planteada en base a las siguientes ALEGACIONES, que se resumen en aras de la economía procesal:</w:t>
      </w:r>
    </w:p>
    <w:p w:rsidR="00CF4651" w:rsidRPr="00A200C2" w:rsidRDefault="00CF4651" w:rsidP="00A200C2">
      <w:pPr>
        <w:rPr>
          <w:rFonts w:cs="Arial"/>
          <w:szCs w:val="24"/>
        </w:rPr>
      </w:pPr>
      <w:r w:rsidRPr="00A200C2">
        <w:rPr>
          <w:rFonts w:cs="Arial"/>
          <w:szCs w:val="24"/>
        </w:rPr>
        <w:t>PRIMERA.- EXTRALIMITACIÓN COMPETENCIAL E</w:t>
      </w:r>
      <w:r w:rsidR="00A26589" w:rsidRPr="00A200C2">
        <w:rPr>
          <w:rFonts w:cs="Arial"/>
          <w:szCs w:val="24"/>
        </w:rPr>
        <w:t xml:space="preserve">N LA CONSULTA POPULAR PLANTEADA </w:t>
      </w:r>
      <w:r w:rsidRPr="00A200C2">
        <w:rPr>
          <w:rFonts w:cs="Arial"/>
          <w:szCs w:val="24"/>
        </w:rPr>
        <w:t>CONSULTA REFERENDARIA.</w:t>
      </w:r>
    </w:p>
    <w:p w:rsidR="00CF4651" w:rsidRPr="00A200C2" w:rsidRDefault="00CF4651" w:rsidP="00A200C2">
      <w:pPr>
        <w:rPr>
          <w:rFonts w:cs="Arial"/>
          <w:szCs w:val="24"/>
        </w:rPr>
      </w:pPr>
    </w:p>
    <w:p w:rsidR="00CF4651" w:rsidRPr="00A200C2" w:rsidRDefault="00CF4651" w:rsidP="00A200C2">
      <w:pPr>
        <w:rPr>
          <w:rFonts w:cs="Arial"/>
          <w:szCs w:val="24"/>
        </w:rPr>
      </w:pPr>
    </w:p>
    <w:p w:rsidR="00AB05FC" w:rsidRPr="00A200C2" w:rsidRDefault="00CF4651" w:rsidP="00A200C2">
      <w:pPr>
        <w:rPr>
          <w:rFonts w:cs="Arial"/>
          <w:szCs w:val="24"/>
        </w:rPr>
      </w:pPr>
      <w:r w:rsidRPr="00A200C2">
        <w:rPr>
          <w:rFonts w:cs="Arial"/>
          <w:szCs w:val="24"/>
        </w:rPr>
        <w:t>Expuesto lo anterior, se ha de manifestar en primer lugar que la consulta popular en los</w:t>
      </w:r>
      <w:r w:rsidR="00A26589" w:rsidRPr="00A200C2">
        <w:rPr>
          <w:rFonts w:cs="Arial"/>
          <w:szCs w:val="24"/>
        </w:rPr>
        <w:t xml:space="preserve"> </w:t>
      </w:r>
      <w:r w:rsidRPr="00A200C2">
        <w:rPr>
          <w:rFonts w:cs="Arial"/>
          <w:szCs w:val="24"/>
        </w:rPr>
        <w:t>términos en los que se plantea excede en mucho de los límites a los que conforme a la Ley</w:t>
      </w:r>
      <w:r w:rsidR="00A26589" w:rsidRPr="00A200C2">
        <w:rPr>
          <w:rFonts w:cs="Arial"/>
          <w:szCs w:val="24"/>
        </w:rPr>
        <w:t xml:space="preserve"> </w:t>
      </w:r>
      <w:r w:rsidRPr="00A200C2">
        <w:rPr>
          <w:rFonts w:cs="Arial"/>
          <w:szCs w:val="24"/>
        </w:rPr>
        <w:t>2/2001, de 3 de mayo, de Consultas Populares Locales de Andalucía (BOJA, número 59 de 24 de</w:t>
      </w:r>
      <w:r w:rsidR="00A26589" w:rsidRPr="00A200C2">
        <w:rPr>
          <w:rFonts w:cs="Arial"/>
          <w:szCs w:val="24"/>
        </w:rPr>
        <w:t xml:space="preserve"> </w:t>
      </w:r>
      <w:r w:rsidRPr="00A200C2">
        <w:rPr>
          <w:rFonts w:cs="Arial"/>
          <w:szCs w:val="24"/>
        </w:rPr>
        <w:t>mayo; BOE número 134, de 5 de junio) se concretan en su artículo 2, a saber: ha de tratarse de</w:t>
      </w:r>
      <w:r w:rsidR="00A26589" w:rsidRPr="00A200C2">
        <w:rPr>
          <w:rFonts w:cs="Arial"/>
          <w:szCs w:val="24"/>
        </w:rPr>
        <w:t xml:space="preserve"> </w:t>
      </w:r>
      <w:r w:rsidRPr="00A200C2">
        <w:rPr>
          <w:rFonts w:cs="Arial"/>
          <w:szCs w:val="24"/>
        </w:rPr>
        <w:t>asuntos de competencia propia municipal y de carácter local que sean de especial relevancia</w:t>
      </w:r>
      <w:r w:rsidR="00A26589" w:rsidRPr="00A200C2">
        <w:rPr>
          <w:rFonts w:cs="Arial"/>
          <w:szCs w:val="24"/>
        </w:rPr>
        <w:t xml:space="preserve"> </w:t>
      </w:r>
      <w:r w:rsidRPr="00A200C2">
        <w:rPr>
          <w:rFonts w:cs="Arial"/>
          <w:szCs w:val="24"/>
        </w:rPr>
        <w:t>para sus intereses.</w:t>
      </w:r>
    </w:p>
    <w:p w:rsidR="00321435" w:rsidRPr="00A200C2" w:rsidRDefault="00321435" w:rsidP="00A200C2">
      <w:pPr>
        <w:rPr>
          <w:rFonts w:cs="Arial"/>
          <w:szCs w:val="24"/>
        </w:rPr>
      </w:pPr>
    </w:p>
    <w:p w:rsidR="00321435" w:rsidRPr="00A200C2" w:rsidRDefault="00321435" w:rsidP="00A200C2">
      <w:pPr>
        <w:autoSpaceDE w:val="0"/>
        <w:autoSpaceDN w:val="0"/>
        <w:adjustRightInd w:val="0"/>
        <w:rPr>
          <w:rFonts w:ascii="CIDFont+F3" w:hAnsi="CIDFont+F3" w:cs="CIDFont+F3"/>
          <w:szCs w:val="24"/>
        </w:rPr>
      </w:pPr>
      <w:r w:rsidRPr="00A200C2">
        <w:rPr>
          <w:rFonts w:cs="Arial"/>
          <w:szCs w:val="24"/>
        </w:rPr>
        <w:t>Como expusimos con anterioridad, la consulta popular reviste carácter referendario. El</w:t>
      </w:r>
      <w:r w:rsidR="00A4150D" w:rsidRPr="00A200C2">
        <w:rPr>
          <w:rFonts w:cs="Arial"/>
          <w:szCs w:val="24"/>
        </w:rPr>
        <w:t xml:space="preserve"> </w:t>
      </w:r>
      <w:r w:rsidRPr="00A200C2">
        <w:rPr>
          <w:rFonts w:cs="Arial"/>
          <w:szCs w:val="24"/>
        </w:rPr>
        <w:t>artículo 149.1.32 CE establece que “El Estado tiene competencia exclusiva sobre las siguientes</w:t>
      </w:r>
      <w:r w:rsidR="00A26589" w:rsidRPr="00A200C2">
        <w:rPr>
          <w:rFonts w:cs="Arial"/>
          <w:szCs w:val="24"/>
        </w:rPr>
        <w:t xml:space="preserve"> </w:t>
      </w:r>
      <w:r w:rsidRPr="00A200C2">
        <w:rPr>
          <w:rFonts w:cs="Arial"/>
          <w:szCs w:val="24"/>
        </w:rPr>
        <w:t>materias: 32ª Autorización para la convocatoria de consultas populares por vía de referéndum”.</w:t>
      </w:r>
    </w:p>
    <w:p w:rsidR="0098222F" w:rsidRPr="00A200C2" w:rsidRDefault="0098222F" w:rsidP="00A200C2">
      <w:pPr>
        <w:autoSpaceDE w:val="0"/>
        <w:autoSpaceDN w:val="0"/>
        <w:adjustRightInd w:val="0"/>
        <w:rPr>
          <w:rFonts w:ascii="CIDFont+F3" w:hAnsi="CIDFont+F3" w:cs="CIDFont+F3"/>
          <w:szCs w:val="24"/>
        </w:rPr>
      </w:pPr>
    </w:p>
    <w:p w:rsidR="0098222F" w:rsidRPr="00A200C2" w:rsidRDefault="0098222F" w:rsidP="00A200C2">
      <w:pPr>
        <w:autoSpaceDE w:val="0"/>
        <w:autoSpaceDN w:val="0"/>
        <w:adjustRightInd w:val="0"/>
        <w:rPr>
          <w:rFonts w:ascii="Palatino Linotype" w:hAnsi="Palatino Linotype" w:cs="CIDFont+F3"/>
          <w:i/>
          <w:szCs w:val="24"/>
        </w:rPr>
      </w:pPr>
      <w:r w:rsidRPr="00A200C2">
        <w:rPr>
          <w:rFonts w:ascii="Palatino Linotype" w:hAnsi="Palatino Linotype" w:cs="CIDFont+F3"/>
          <w:i/>
          <w:szCs w:val="24"/>
        </w:rPr>
        <w:t xml:space="preserve">El plenario del Ayuntamiento en ningún momento ha cuestionado la competencia estatal, de ahí, que haya iniciado un procedimiento, cumpliendo rigurosamente lo establecido en la leyes vigentes, resaltando el respeto a la Constitución Española, </w:t>
      </w:r>
      <w:r w:rsidR="00D307EE" w:rsidRPr="00A200C2">
        <w:rPr>
          <w:rFonts w:ascii="Palatino Linotype" w:hAnsi="Palatino Linotype" w:cs="CIDFont+F3"/>
          <w:i/>
          <w:szCs w:val="24"/>
        </w:rPr>
        <w:t xml:space="preserve">la Ley, 7/1985, de 2 de abril Bases de Régimen Local, y muy especialmente </w:t>
      </w:r>
      <w:r w:rsidRPr="00A200C2">
        <w:rPr>
          <w:rFonts w:ascii="Palatino Linotype" w:hAnsi="Palatino Linotype" w:cs="CIDFont+F3"/>
          <w:i/>
          <w:szCs w:val="24"/>
        </w:rPr>
        <w:t>a la Ley 2/20021, de 3 de mayo de Consultas Populares Locales de Andalucía</w:t>
      </w:r>
      <w:r w:rsidR="00F30FAB" w:rsidRPr="00A200C2">
        <w:rPr>
          <w:rFonts w:ascii="Palatino Linotype" w:hAnsi="Palatino Linotype" w:cs="CIDFont+F3"/>
          <w:i/>
          <w:szCs w:val="24"/>
        </w:rPr>
        <w:t>.</w:t>
      </w:r>
    </w:p>
    <w:p w:rsidR="00F30FAB" w:rsidRPr="00A200C2" w:rsidRDefault="00F30FAB" w:rsidP="00A200C2">
      <w:pPr>
        <w:autoSpaceDE w:val="0"/>
        <w:autoSpaceDN w:val="0"/>
        <w:adjustRightInd w:val="0"/>
        <w:rPr>
          <w:rFonts w:ascii="Palatino Linotype" w:hAnsi="Palatino Linotype" w:cs="CIDFont+F1"/>
          <w:i/>
          <w:szCs w:val="24"/>
        </w:rPr>
      </w:pPr>
      <w:r w:rsidRPr="00A200C2">
        <w:rPr>
          <w:rFonts w:ascii="Palatino Linotype" w:hAnsi="Palatino Linotype" w:cs="CIDFont+F1"/>
          <w:i/>
          <w:szCs w:val="24"/>
        </w:rPr>
        <w:t xml:space="preserve">  Ello lo permite el carácter peculiar del art. 144 CE y las ocasiones en las que se ha utilizado justifican los pronunciamientos del Tribunal Constitucional sobre el particular. Primeramente en la STC 89/1984, de 28 de septiembre, se aclara que la Ley Orgánica a que se refiere el artículo "si bien el precepto no lo dice expresamente, está claro que ha de tratarse de Ley aprobada precisamente al amparo de dicho precepto sin  que pueda considerarse que se ha cumplido el requisito, y ejercida la facultad por él condicionada, al aprobarse un Estatuto de Autonomía como Ley Orgánica, según exige la norma constitucional, </w:t>
      </w:r>
      <w:r w:rsidRPr="00A200C2">
        <w:rPr>
          <w:rFonts w:ascii="Palatino Linotype" w:hAnsi="Palatino Linotype" w:cs="CIDFont+F1"/>
          <w:i/>
          <w:szCs w:val="24"/>
          <w:u w:val="single"/>
        </w:rPr>
        <w:t>porque de ser así no tendría sentido alguno la iniciativa de las Corporaciones</w:t>
      </w:r>
      <w:r w:rsidRPr="00A200C2">
        <w:rPr>
          <w:rFonts w:ascii="Palatino Linotype" w:hAnsi="Palatino Linotype" w:cs="CIDFont+F1"/>
          <w:i/>
          <w:szCs w:val="24"/>
        </w:rPr>
        <w:t>, cuya eventual ausencia resultaría siempre automáticamente suplida por la voluntad de las Cortes manifestada en el solo hecho de aprobar un Estatuto que las abarcase" (FJ 4). La citada Ley Orgánica 5/1983, de 1 de marzo, fue objeto de un recurso de inconstitucionalidad resuelto por STC 100/1984, de 8 de noviembre. En ella, el Tribunal Constitucional afirma que "la facultad conferida por la Constitución a las Cortes, represent</w:t>
      </w:r>
      <w:r w:rsidR="008E3EFF">
        <w:rPr>
          <w:rFonts w:ascii="Palatino Linotype" w:hAnsi="Palatino Linotype" w:cs="CIDFont+F1"/>
          <w:i/>
          <w:szCs w:val="24"/>
        </w:rPr>
        <w:t>antes</w:t>
      </w:r>
      <w:r w:rsidRPr="00A200C2">
        <w:rPr>
          <w:rFonts w:ascii="Palatino Linotype" w:hAnsi="Palatino Linotype" w:cs="CIDFont+F1"/>
          <w:i/>
          <w:szCs w:val="24"/>
        </w:rPr>
        <w:t xml:space="preserve"> del pueblo español, titular indiviso de la soberanía, para sustituir la iniciativa de las Corporaciones locales del 143.2 de la CE, no debe entenderse limitada sólo a los supuestos en que no haya habido tal iniciativa o cuando ésta haya sido impulsada pero se haya frustrado en cualquiera de sus fases, </w:t>
      </w:r>
      <w:r w:rsidRPr="00A200C2">
        <w:rPr>
          <w:rFonts w:ascii="Palatino Linotype" w:hAnsi="Palatino Linotype" w:cs="CIDFont+F1"/>
          <w:i/>
          <w:szCs w:val="24"/>
          <w:u w:val="single"/>
        </w:rPr>
        <w:t xml:space="preserve">sino que debe considerarse extensible también a la hipótesis en que las Corporaciones del 143.2 CE excluyeran en </w:t>
      </w:r>
      <w:r w:rsidRPr="00A200C2">
        <w:rPr>
          <w:rFonts w:ascii="Palatino Linotype" w:hAnsi="Palatino Linotype" w:cs="CIDFont+F1"/>
          <w:i/>
          <w:szCs w:val="24"/>
          <w:u w:val="single"/>
        </w:rPr>
        <w:lastRenderedPageBreak/>
        <w:t>algún caso una iniciativa autonómica que las Cortes entiendan de interés nacional</w:t>
      </w:r>
      <w:r w:rsidRPr="00A200C2">
        <w:rPr>
          <w:rFonts w:ascii="Palatino Linotype" w:hAnsi="Palatino Linotype" w:cs="CIDFont+F1"/>
          <w:i/>
          <w:szCs w:val="24"/>
        </w:rPr>
        <w:t>. La facultad del 144,c) de la CE es así, como en otro contexto dijimos con referencia al 150.3 de la CE, [STC 76/1983, FJ3.a)], esto es, una cláusula que cumple una función de garantía respecto a la viabilidad misma del resultado del proceso autonómico. La Constitución, que no configura el mapa autonómico, no ha dejado su concreción tan sólo a la disposición de los titulares de iniciativa autonómica, sino que ha querido dejar en manos de las Cortes un mecanismo de cierre para la eventual primacía del interés nacional. Bien entendido que tampoco esta facultad del 144,c) de la CE es ilimitada, pues en el juego de contrapesos propio de la regulación de la autonomía este mecanismo tiene también sus límites, ya que sólo cabe que las Cortes lo ejerzan respecto a las Corporaciones del 143.2 de la CE, esto es, no respecto a los territorios citados en las Disposiciones transitorias 2ª, 4ª y 5ª, y sólo por motivos de interés nacional" (FJ 3).</w:t>
      </w:r>
    </w:p>
    <w:p w:rsidR="00F30FAB" w:rsidRPr="00A200C2" w:rsidRDefault="00F30FAB" w:rsidP="00A200C2">
      <w:pPr>
        <w:autoSpaceDE w:val="0"/>
        <w:autoSpaceDN w:val="0"/>
        <w:adjustRightInd w:val="0"/>
        <w:rPr>
          <w:rFonts w:ascii="CIDFont+F1" w:hAnsi="CIDFont+F1" w:cs="CIDFont+F1"/>
          <w:i/>
          <w:szCs w:val="24"/>
        </w:rPr>
      </w:pPr>
    </w:p>
    <w:p w:rsidR="00321435" w:rsidRPr="00A200C2" w:rsidRDefault="00321435" w:rsidP="00A200C2">
      <w:pPr>
        <w:autoSpaceDE w:val="0"/>
        <w:autoSpaceDN w:val="0"/>
        <w:adjustRightInd w:val="0"/>
        <w:rPr>
          <w:rFonts w:cs="Arial"/>
          <w:color w:val="282828"/>
          <w:szCs w:val="24"/>
        </w:rPr>
      </w:pPr>
      <w:r w:rsidRPr="00A200C2">
        <w:rPr>
          <w:rFonts w:cs="Arial"/>
          <w:color w:val="282828"/>
          <w:szCs w:val="24"/>
        </w:rPr>
        <w:t>…En nuestro sistema de democracia representativa, en el que la voluntad soberana tiene</w:t>
      </w:r>
      <w:r w:rsidR="00A26589" w:rsidRPr="00A200C2">
        <w:rPr>
          <w:rFonts w:cs="Arial"/>
          <w:color w:val="282828"/>
          <w:szCs w:val="24"/>
        </w:rPr>
        <w:t xml:space="preserve"> </w:t>
      </w:r>
      <w:r w:rsidRPr="00A200C2">
        <w:rPr>
          <w:rFonts w:cs="Arial"/>
          <w:color w:val="282828"/>
          <w:szCs w:val="24"/>
        </w:rPr>
        <w:t>su lugar natural y ordinario de expresión en las Cortes Generales (art. 66.1 CE) y las voluntades</w:t>
      </w:r>
      <w:r w:rsidR="00A26589" w:rsidRPr="00A200C2">
        <w:rPr>
          <w:rFonts w:cs="Arial"/>
          <w:color w:val="282828"/>
          <w:szCs w:val="24"/>
        </w:rPr>
        <w:t xml:space="preserve"> </w:t>
      </w:r>
      <w:r w:rsidRPr="00A200C2">
        <w:rPr>
          <w:rFonts w:cs="Arial"/>
          <w:color w:val="282828"/>
          <w:szCs w:val="24"/>
        </w:rPr>
        <w:t>autonómicas en los respectivos Parlamentos de las Comunidades Autónomas, los mecanismos de</w:t>
      </w:r>
      <w:r w:rsidR="00A26589" w:rsidRPr="00A200C2">
        <w:rPr>
          <w:rFonts w:cs="Arial"/>
          <w:color w:val="282828"/>
          <w:szCs w:val="24"/>
        </w:rPr>
        <w:t xml:space="preserve"> </w:t>
      </w:r>
      <w:r w:rsidRPr="00A200C2">
        <w:rPr>
          <w:rFonts w:cs="Arial"/>
          <w:color w:val="282828"/>
          <w:szCs w:val="24"/>
        </w:rPr>
        <w:t>participación directa en los asuntos públicos quedan restringidos a aquellos supuestos en los que</w:t>
      </w:r>
      <w:r w:rsidR="00A26589" w:rsidRPr="00A200C2">
        <w:rPr>
          <w:rFonts w:cs="Arial"/>
          <w:color w:val="282828"/>
          <w:szCs w:val="24"/>
        </w:rPr>
        <w:t xml:space="preserve"> </w:t>
      </w:r>
      <w:r w:rsidRPr="00A200C2">
        <w:rPr>
          <w:rFonts w:cs="Arial"/>
          <w:color w:val="282828"/>
          <w:szCs w:val="24"/>
        </w:rPr>
        <w:t>la Constitución expresamente los impone (caso de la reforma constitucional por la vía del art. 168</w:t>
      </w:r>
      <w:r w:rsidR="00A26589" w:rsidRPr="00A200C2">
        <w:rPr>
          <w:rFonts w:cs="Arial"/>
          <w:color w:val="282828"/>
          <w:szCs w:val="24"/>
        </w:rPr>
        <w:t xml:space="preserve"> </w:t>
      </w:r>
      <w:r w:rsidRPr="00A200C2">
        <w:rPr>
          <w:rFonts w:cs="Arial"/>
          <w:color w:val="282828"/>
          <w:szCs w:val="24"/>
        </w:rPr>
        <w:t>CE y de los procedimientos de elaboración y reforma estatutarios previstos en los arts. 151.1 y 2 y</w:t>
      </w:r>
      <w:r w:rsidR="00A26589" w:rsidRPr="00A200C2">
        <w:rPr>
          <w:rFonts w:cs="Arial"/>
          <w:color w:val="282828"/>
          <w:szCs w:val="24"/>
        </w:rPr>
        <w:t xml:space="preserve"> </w:t>
      </w:r>
      <w:r w:rsidRPr="00A200C2">
        <w:rPr>
          <w:rFonts w:cs="Arial"/>
          <w:color w:val="282828"/>
          <w:szCs w:val="24"/>
        </w:rPr>
        <w:t>152.2 CE) o a aquellos que, también expresamente contemp</w:t>
      </w:r>
      <w:r w:rsidR="00A26589" w:rsidRPr="00A200C2">
        <w:rPr>
          <w:rFonts w:cs="Arial"/>
          <w:color w:val="282828"/>
          <w:szCs w:val="24"/>
        </w:rPr>
        <w:t>lados, supedita a la pertinente a</w:t>
      </w:r>
      <w:r w:rsidRPr="00A200C2">
        <w:rPr>
          <w:rFonts w:cs="Arial"/>
          <w:color w:val="282828"/>
          <w:szCs w:val="24"/>
        </w:rPr>
        <w:t>utorización</w:t>
      </w:r>
      <w:r w:rsidR="00A26589" w:rsidRPr="00A200C2">
        <w:rPr>
          <w:rFonts w:cs="Arial"/>
          <w:color w:val="282828"/>
          <w:szCs w:val="24"/>
        </w:rPr>
        <w:t xml:space="preserve"> </w:t>
      </w:r>
      <w:r w:rsidRPr="00A200C2">
        <w:rPr>
          <w:rFonts w:cs="Arial"/>
          <w:color w:val="282828"/>
          <w:szCs w:val="24"/>
        </w:rPr>
        <w:t>del representante del pueblo soberano (Cortes Generales) o de una de sus Cámaras….”</w:t>
      </w:r>
    </w:p>
    <w:p w:rsidR="00D307EE" w:rsidRPr="00A200C2" w:rsidRDefault="00D307EE" w:rsidP="00A200C2">
      <w:pPr>
        <w:autoSpaceDE w:val="0"/>
        <w:autoSpaceDN w:val="0"/>
        <w:adjustRightInd w:val="0"/>
        <w:rPr>
          <w:rFonts w:ascii="CIDFont+F3" w:hAnsi="CIDFont+F3" w:cs="CIDFont+F3"/>
          <w:color w:val="282828"/>
          <w:szCs w:val="24"/>
        </w:rPr>
      </w:pPr>
    </w:p>
    <w:p w:rsidR="00D307EE" w:rsidRPr="00A200C2" w:rsidRDefault="00D307EE" w:rsidP="00A200C2">
      <w:pPr>
        <w:autoSpaceDE w:val="0"/>
        <w:autoSpaceDN w:val="0"/>
        <w:adjustRightInd w:val="0"/>
        <w:rPr>
          <w:rFonts w:ascii="Palatino Linotype" w:hAnsi="Palatino Linotype" w:cs="CIDFont+F3"/>
          <w:i/>
          <w:color w:val="282828"/>
          <w:szCs w:val="24"/>
        </w:rPr>
      </w:pPr>
      <w:r w:rsidRPr="00A200C2">
        <w:rPr>
          <w:rFonts w:ascii="Palatino Linotype" w:hAnsi="Palatino Linotype" w:cs="CIDFont+F3"/>
          <w:i/>
          <w:color w:val="282828"/>
          <w:szCs w:val="24"/>
        </w:rPr>
        <w:t xml:space="preserve">El razonamiento expuesto en el párrafo precedente no se compadece con la exposición de motivos de las leyes mencionadas más arriba, pero muy especialmente con la Ley andaluza de consultas populares que dice: “Así pues, en el ejercicio de las competencias atribuidas a la Comunidad Autónoma en esta materia por el artículo 15.2 de su Estatuto de Autonomía, se procede, mediante la presente Ley, a la regulación de las consultas populares locales, al objeto de </w:t>
      </w:r>
      <w:r w:rsidRPr="00A200C2">
        <w:rPr>
          <w:rFonts w:ascii="Palatino Linotype" w:hAnsi="Palatino Linotype" w:cs="CIDFont+F3"/>
          <w:i/>
          <w:color w:val="282828"/>
          <w:szCs w:val="24"/>
          <w:u w:val="single"/>
        </w:rPr>
        <w:t>establecer un sistema en el que los ciudadanos puedan expresar su opinión en los temas municipales que se les consulten</w:t>
      </w:r>
      <w:r w:rsidRPr="00A200C2">
        <w:rPr>
          <w:rFonts w:ascii="Palatino Linotype" w:hAnsi="Palatino Linotype" w:cs="CIDFont+F3"/>
          <w:i/>
          <w:color w:val="282828"/>
          <w:szCs w:val="24"/>
        </w:rPr>
        <w:t>, pues es en el ámbito local donde se generan los intereses más inmediatos a aquéllos. Con esta Ley se da cumplimiento al principio contenido en el artículo 9.2 de la Constitución Española y en el 12.1 del Estatuto de Autonomía para Andalucía, en el sentido de facilitar la participación de los ciudadanos andaluces en la vida política, en lo que se refiere a asuntos de competencia municipal y de carácter local, con exclusión de los temas relativos a la Hacienda Local…….</w:t>
      </w:r>
      <w:r w:rsidRPr="00A200C2">
        <w:rPr>
          <w:rFonts w:ascii="Palatino Linotype" w:hAnsi="Palatino Linotype"/>
          <w:szCs w:val="24"/>
        </w:rPr>
        <w:t xml:space="preserve"> </w:t>
      </w:r>
      <w:r w:rsidRPr="00A200C2">
        <w:rPr>
          <w:rFonts w:ascii="Palatino Linotype" w:hAnsi="Palatino Linotype" w:cs="CIDFont+F3"/>
          <w:i/>
          <w:color w:val="282828"/>
          <w:szCs w:val="24"/>
        </w:rPr>
        <w:t>Finalmente, esta Ley establece un marco procedimental homogéneo para todas las consultas populares locales que puedan celebrarse, garantizando los principios de transparencia, publicidad, participación y pluralismo, regulando la necesaria campaña de información y el voto anticipado de los electores, así como el desarrollo de la votación y del escrutinio, creando un Registro de Consultas a fin de facilitar el seguimiento y control administrativo de las mismas”, que es exactamente lo que pretendemos llevar a cabo en La Línea, si el miedo a la voluntad popular libremente expresada no lo impide</w:t>
      </w:r>
      <w:r w:rsidR="00A200C2">
        <w:rPr>
          <w:rFonts w:ascii="Palatino Linotype" w:hAnsi="Palatino Linotype" w:cs="CIDFont+F3"/>
          <w:i/>
          <w:color w:val="282828"/>
          <w:szCs w:val="24"/>
        </w:rPr>
        <w:t>.</w:t>
      </w:r>
    </w:p>
    <w:p w:rsidR="00321435" w:rsidRPr="00A200C2" w:rsidRDefault="00321435" w:rsidP="00A200C2">
      <w:pPr>
        <w:autoSpaceDE w:val="0"/>
        <w:autoSpaceDN w:val="0"/>
        <w:adjustRightInd w:val="0"/>
        <w:rPr>
          <w:rFonts w:ascii="CIDFont+F3" w:hAnsi="CIDFont+F3" w:cs="CIDFont+F3"/>
          <w:color w:val="282828"/>
          <w:szCs w:val="24"/>
        </w:rPr>
      </w:pPr>
    </w:p>
    <w:p w:rsidR="00321435" w:rsidRPr="00A200C2" w:rsidRDefault="00D307EE" w:rsidP="00A200C2">
      <w:pPr>
        <w:autoSpaceDE w:val="0"/>
        <w:autoSpaceDN w:val="0"/>
        <w:adjustRightInd w:val="0"/>
        <w:rPr>
          <w:rFonts w:cs="Arial"/>
          <w:color w:val="282828"/>
          <w:szCs w:val="24"/>
        </w:rPr>
      </w:pPr>
      <w:r w:rsidRPr="00A200C2">
        <w:rPr>
          <w:rFonts w:cs="Arial"/>
          <w:color w:val="282828"/>
          <w:szCs w:val="24"/>
        </w:rPr>
        <w:t>La</w:t>
      </w:r>
      <w:r w:rsidR="00321435" w:rsidRPr="00A200C2">
        <w:rPr>
          <w:rFonts w:cs="Arial"/>
          <w:color w:val="282828"/>
          <w:szCs w:val="24"/>
        </w:rPr>
        <w:t xml:space="preserve"> tramitación del referéndum se lleva a cabo en base al censo y como si de un proceso</w:t>
      </w:r>
      <w:r w:rsidR="00A26589" w:rsidRPr="00A200C2">
        <w:rPr>
          <w:rFonts w:cs="Arial"/>
          <w:color w:val="282828"/>
          <w:szCs w:val="24"/>
        </w:rPr>
        <w:t xml:space="preserve"> </w:t>
      </w:r>
      <w:r w:rsidR="00321435" w:rsidRPr="00A200C2">
        <w:rPr>
          <w:rFonts w:cs="Arial"/>
          <w:color w:val="282828"/>
          <w:szCs w:val="24"/>
        </w:rPr>
        <w:t>electoral se tratara.</w:t>
      </w:r>
    </w:p>
    <w:p w:rsidR="00AA6FE3" w:rsidRPr="00A200C2" w:rsidRDefault="00AA6FE3" w:rsidP="00A200C2">
      <w:pPr>
        <w:autoSpaceDE w:val="0"/>
        <w:autoSpaceDN w:val="0"/>
        <w:adjustRightInd w:val="0"/>
        <w:rPr>
          <w:rFonts w:ascii="CIDFont+F3" w:hAnsi="CIDFont+F3" w:cs="CIDFont+F3"/>
          <w:i/>
          <w:color w:val="282828"/>
          <w:szCs w:val="24"/>
        </w:rPr>
      </w:pPr>
    </w:p>
    <w:p w:rsidR="00D307EE" w:rsidRPr="00A200C2" w:rsidRDefault="00D307EE" w:rsidP="00A200C2">
      <w:pPr>
        <w:autoSpaceDE w:val="0"/>
        <w:autoSpaceDN w:val="0"/>
        <w:adjustRightInd w:val="0"/>
        <w:rPr>
          <w:rFonts w:ascii="Palatino Linotype" w:hAnsi="Palatino Linotype" w:cs="CIDFont+F3"/>
          <w:i/>
          <w:color w:val="282828"/>
          <w:szCs w:val="24"/>
        </w:rPr>
      </w:pPr>
      <w:r w:rsidRPr="00A200C2">
        <w:rPr>
          <w:rFonts w:ascii="Palatino Linotype" w:hAnsi="Palatino Linotype" w:cs="CIDFont+F3"/>
          <w:i/>
          <w:color w:val="282828"/>
          <w:szCs w:val="24"/>
        </w:rPr>
        <w:t>Nada que objetar al respecto.</w:t>
      </w:r>
    </w:p>
    <w:p w:rsidR="00F30FAB" w:rsidRPr="00A200C2" w:rsidRDefault="00F30FAB" w:rsidP="00A200C2">
      <w:pPr>
        <w:autoSpaceDE w:val="0"/>
        <w:autoSpaceDN w:val="0"/>
        <w:adjustRightInd w:val="0"/>
        <w:rPr>
          <w:rFonts w:ascii="Palatino Linotype" w:hAnsi="Palatino Linotype" w:cs="CIDFont+F3"/>
          <w:i/>
          <w:color w:val="282828"/>
          <w:szCs w:val="24"/>
        </w:rPr>
      </w:pPr>
      <w:r w:rsidRPr="00A200C2">
        <w:rPr>
          <w:rFonts w:ascii="Palatino Linotype" w:hAnsi="Palatino Linotype" w:cs="CIDFont+F3"/>
          <w:i/>
          <w:color w:val="282828"/>
          <w:szCs w:val="24"/>
        </w:rPr>
        <w:t xml:space="preserve">El art. 144 b) establece, como se sabe, la previsión de que las Cortes Generales, por motivos de interés general, puedan autorizar o acordar un Estatuto de autonomía para territorios que no estén integrados en la organización provincial. Este cauce tiene en Ceuta y Melilla a sus destinatarios primeros, pues en el momento de aprobarse la Constitución eran los únicos territorios de soberanía española no integrados en la organización provincial. Además, la referencia a la autorización se vinculaba a la disposición transitoria quinta CE, en la que se establece la posibilidad de constituirse en comunidades autónomas con la autorización de las Cortes prevista en el art. 144 CE, aunque </w:t>
      </w:r>
      <w:r w:rsidRPr="00A200C2">
        <w:rPr>
          <w:rFonts w:ascii="Palatino Linotype" w:hAnsi="Palatino Linotype" w:cs="CIDFont+F3"/>
          <w:i/>
          <w:color w:val="282828"/>
          <w:szCs w:val="24"/>
          <w:u w:val="single"/>
        </w:rPr>
        <w:t>en la práctica</w:t>
      </w:r>
      <w:r w:rsidRPr="00A200C2">
        <w:rPr>
          <w:rFonts w:ascii="Palatino Linotype" w:hAnsi="Palatino Linotype" w:cs="CIDFont+F3"/>
          <w:i/>
          <w:color w:val="282828"/>
          <w:szCs w:val="24"/>
        </w:rPr>
        <w:t xml:space="preserve">, </w:t>
      </w:r>
      <w:r w:rsidRPr="00A200C2">
        <w:rPr>
          <w:rFonts w:ascii="Palatino Linotype" w:hAnsi="Palatino Linotype" w:cs="CIDFont+F3"/>
          <w:i/>
          <w:color w:val="282828"/>
          <w:szCs w:val="24"/>
          <w:u w:val="single"/>
        </w:rPr>
        <w:t>las Cortes Generales optaron por</w:t>
      </w:r>
      <w:r w:rsidRPr="00A200C2">
        <w:rPr>
          <w:rFonts w:ascii="Palatino Linotype" w:hAnsi="Palatino Linotype" w:cs="CIDFont+F3"/>
          <w:i/>
          <w:color w:val="282828"/>
          <w:szCs w:val="24"/>
        </w:rPr>
        <w:t xml:space="preserve"> acordar directamente sendos Estatutos para Ceuta y Melilla, </w:t>
      </w:r>
      <w:r w:rsidRPr="00A200C2">
        <w:rPr>
          <w:rFonts w:ascii="Palatino Linotype" w:hAnsi="Palatino Linotype" w:cs="CIDFont+F3"/>
          <w:i/>
          <w:color w:val="282828"/>
          <w:szCs w:val="24"/>
          <w:u w:val="single"/>
        </w:rPr>
        <w:t>la otra opción del art. 144 b)</w:t>
      </w:r>
      <w:r w:rsidRPr="00A200C2">
        <w:rPr>
          <w:rFonts w:ascii="Palatino Linotype" w:hAnsi="Palatino Linotype" w:cs="CIDFont+F3"/>
          <w:i/>
          <w:color w:val="282828"/>
          <w:szCs w:val="24"/>
        </w:rPr>
        <w:t xml:space="preserve">, soslayando la disposición transitoria quinta CE (Montilla Martos, J. A., 1999, págs. 69-70). </w:t>
      </w:r>
      <w:r w:rsidRPr="00A200C2">
        <w:rPr>
          <w:rFonts w:ascii="Palatino Linotype" w:hAnsi="Palatino Linotype" w:cs="CIDFont+F3"/>
          <w:i/>
          <w:color w:val="282828"/>
          <w:szCs w:val="24"/>
          <w:u w:val="single"/>
        </w:rPr>
        <w:t>Así lo ha reconocido expresamente, validando la constitucionalidad del procedimiento seguido por las Cortes Generales, el Auto del Tribunal Constituci</w:t>
      </w:r>
      <w:r w:rsidR="00AA6FE3" w:rsidRPr="00A200C2">
        <w:rPr>
          <w:rFonts w:ascii="Palatino Linotype" w:hAnsi="Palatino Linotype" w:cs="CIDFont+F3"/>
          <w:i/>
          <w:color w:val="282828"/>
          <w:szCs w:val="24"/>
          <w:u w:val="single"/>
        </w:rPr>
        <w:t>onal 202/2000, de 25 de julio</w:t>
      </w:r>
      <w:r w:rsidR="00AA6FE3" w:rsidRPr="00A200C2">
        <w:rPr>
          <w:rFonts w:ascii="Palatino Linotype" w:hAnsi="Palatino Linotype" w:cs="CIDFont+F3"/>
          <w:i/>
          <w:color w:val="282828"/>
          <w:szCs w:val="24"/>
        </w:rPr>
        <w:t>.</w:t>
      </w:r>
    </w:p>
    <w:p w:rsidR="00321435" w:rsidRPr="00A200C2" w:rsidRDefault="00321435" w:rsidP="00A200C2">
      <w:pPr>
        <w:autoSpaceDE w:val="0"/>
        <w:autoSpaceDN w:val="0"/>
        <w:adjustRightInd w:val="0"/>
        <w:rPr>
          <w:rFonts w:ascii="CIDFont+F3" w:hAnsi="CIDFont+F3" w:cs="CIDFont+F3"/>
          <w:color w:val="282828"/>
          <w:szCs w:val="24"/>
        </w:rPr>
      </w:pPr>
    </w:p>
    <w:p w:rsidR="00321435" w:rsidRPr="00A200C2" w:rsidRDefault="00321435" w:rsidP="00A200C2">
      <w:pPr>
        <w:autoSpaceDE w:val="0"/>
        <w:autoSpaceDN w:val="0"/>
        <w:adjustRightInd w:val="0"/>
        <w:rPr>
          <w:rFonts w:cs="Arial"/>
          <w:color w:val="282828"/>
          <w:szCs w:val="24"/>
        </w:rPr>
      </w:pPr>
      <w:r w:rsidRPr="00A200C2">
        <w:rPr>
          <w:rFonts w:cs="Arial"/>
          <w:color w:val="282828"/>
          <w:szCs w:val="24"/>
        </w:rPr>
        <w:t>Bien es cierto que los “Requisitos de la Iniciativa y Convocatoria” aludidos no hacen más</w:t>
      </w:r>
      <w:r w:rsidR="00A26589" w:rsidRPr="00A200C2">
        <w:rPr>
          <w:rFonts w:cs="Arial"/>
          <w:color w:val="282828"/>
          <w:szCs w:val="24"/>
        </w:rPr>
        <w:t xml:space="preserve"> </w:t>
      </w:r>
      <w:r w:rsidRPr="00A200C2">
        <w:rPr>
          <w:rFonts w:cs="Arial"/>
          <w:color w:val="282828"/>
          <w:szCs w:val="24"/>
        </w:rPr>
        <w:t>que reproducir los artículos 8 y siguientes de la Ley 2/20021, de 3 de mayo de Consultas Populares</w:t>
      </w:r>
      <w:r w:rsidR="00A26589" w:rsidRPr="00A200C2">
        <w:rPr>
          <w:rFonts w:cs="Arial"/>
          <w:color w:val="282828"/>
          <w:szCs w:val="24"/>
        </w:rPr>
        <w:t xml:space="preserve"> </w:t>
      </w:r>
      <w:r w:rsidRPr="00A200C2">
        <w:rPr>
          <w:rFonts w:cs="Arial"/>
          <w:color w:val="282828"/>
          <w:szCs w:val="24"/>
        </w:rPr>
        <w:t>Locales de Andalucía a la que ya se ha hecho referencia. De estos preceptos se desprende</w:t>
      </w:r>
      <w:r w:rsidR="00A26589" w:rsidRPr="00A200C2">
        <w:rPr>
          <w:rFonts w:cs="Arial"/>
          <w:color w:val="282828"/>
          <w:szCs w:val="24"/>
        </w:rPr>
        <w:t xml:space="preserve"> </w:t>
      </w:r>
      <w:r w:rsidRPr="00A200C2">
        <w:rPr>
          <w:rFonts w:cs="Arial"/>
          <w:color w:val="282828"/>
          <w:szCs w:val="24"/>
        </w:rPr>
        <w:t>que cualquier consulta popular en Andalucía se somete a las garantías jurisdiccionales de un</w:t>
      </w:r>
      <w:r w:rsidR="00A26589" w:rsidRPr="00A200C2">
        <w:rPr>
          <w:rFonts w:cs="Arial"/>
          <w:color w:val="282828"/>
          <w:szCs w:val="24"/>
        </w:rPr>
        <w:t xml:space="preserve"> </w:t>
      </w:r>
      <w:r w:rsidRPr="00A200C2">
        <w:rPr>
          <w:rFonts w:cs="Arial"/>
          <w:color w:val="282828"/>
          <w:szCs w:val="24"/>
        </w:rPr>
        <w:t>proceso electoral. No obstante, resulta ineludible incidir en que la materia objeto de consulta</w:t>
      </w:r>
      <w:r w:rsidR="00A26589" w:rsidRPr="00A200C2">
        <w:rPr>
          <w:rFonts w:cs="Arial"/>
          <w:color w:val="282828"/>
          <w:szCs w:val="24"/>
        </w:rPr>
        <w:t xml:space="preserve"> </w:t>
      </w:r>
      <w:r w:rsidRPr="00A200C2">
        <w:rPr>
          <w:rFonts w:cs="Arial"/>
          <w:color w:val="282828"/>
          <w:szCs w:val="24"/>
        </w:rPr>
        <w:t>escapa como ya se ha explicado de la competencia propia municipal y de índole local siendo</w:t>
      </w:r>
      <w:r w:rsidR="00A26589" w:rsidRPr="00A200C2">
        <w:rPr>
          <w:rFonts w:cs="Arial"/>
          <w:color w:val="282828"/>
          <w:szCs w:val="24"/>
        </w:rPr>
        <w:t xml:space="preserve"> </w:t>
      </w:r>
      <w:r w:rsidRPr="00A200C2">
        <w:rPr>
          <w:rFonts w:cs="Arial"/>
          <w:color w:val="282828"/>
          <w:szCs w:val="24"/>
        </w:rPr>
        <w:t>además una cuestión que, por exigir una reforma estatutaria, reviste carácter referendario.</w:t>
      </w:r>
    </w:p>
    <w:p w:rsidR="00EC2F1B" w:rsidRPr="00A200C2" w:rsidRDefault="00EC2F1B" w:rsidP="00A200C2">
      <w:pPr>
        <w:autoSpaceDE w:val="0"/>
        <w:autoSpaceDN w:val="0"/>
        <w:adjustRightInd w:val="0"/>
        <w:rPr>
          <w:rFonts w:ascii="CIDFont+F3" w:hAnsi="CIDFont+F3" w:cs="CIDFont+F3"/>
          <w:color w:val="282828"/>
          <w:szCs w:val="24"/>
        </w:rPr>
      </w:pPr>
    </w:p>
    <w:p w:rsidR="00EC2F1B" w:rsidRPr="00A200C2" w:rsidRDefault="00EC2F1B" w:rsidP="00A200C2">
      <w:pPr>
        <w:autoSpaceDE w:val="0"/>
        <w:autoSpaceDN w:val="0"/>
        <w:adjustRightInd w:val="0"/>
        <w:rPr>
          <w:rFonts w:ascii="Palatino Linotype" w:hAnsi="Palatino Linotype" w:cs="CIDFont+F3"/>
          <w:i/>
          <w:color w:val="282828"/>
          <w:szCs w:val="24"/>
        </w:rPr>
      </w:pPr>
      <w:r w:rsidRPr="00A200C2">
        <w:rPr>
          <w:rFonts w:ascii="Palatino Linotype" w:hAnsi="Palatino Linotype" w:cs="CIDFont+F3"/>
          <w:i/>
          <w:color w:val="282828"/>
          <w:szCs w:val="24"/>
        </w:rPr>
        <w:t xml:space="preserve">No es cierto que </w:t>
      </w:r>
      <w:r w:rsidR="005A7ADB" w:rsidRPr="00A200C2">
        <w:rPr>
          <w:rFonts w:ascii="Palatino Linotype" w:hAnsi="Palatino Linotype" w:cs="CIDFont+F3"/>
          <w:i/>
          <w:color w:val="282828"/>
          <w:szCs w:val="24"/>
        </w:rPr>
        <w:t xml:space="preserve">el </w:t>
      </w:r>
      <w:r w:rsidRPr="00A200C2">
        <w:rPr>
          <w:rFonts w:ascii="Palatino Linotype" w:hAnsi="Palatino Linotype" w:cs="CIDFont+F3"/>
          <w:i/>
          <w:color w:val="282828"/>
          <w:szCs w:val="24"/>
        </w:rPr>
        <w:t xml:space="preserve">posible resultado favorable a la creación de una nueva autonomía, </w:t>
      </w:r>
      <w:r w:rsidR="005A7ADB" w:rsidRPr="00A200C2">
        <w:rPr>
          <w:rFonts w:ascii="Palatino Linotype" w:hAnsi="Palatino Linotype" w:cs="CIDFont+F3"/>
          <w:i/>
          <w:color w:val="282828"/>
          <w:szCs w:val="24"/>
        </w:rPr>
        <w:t xml:space="preserve">suponga una reforma estatutaria ya que </w:t>
      </w:r>
      <w:r w:rsidRPr="00A200C2">
        <w:rPr>
          <w:rFonts w:ascii="Palatino Linotype" w:hAnsi="Palatino Linotype" w:cs="CIDFont+F3"/>
          <w:i/>
          <w:color w:val="282828"/>
          <w:szCs w:val="24"/>
        </w:rPr>
        <w:t>la modalidad estaría por ver en función de lo que regularan las Cortes en las leyes orgánicas que se desarrollen al respecto, ya que el Estatuto de Autonomía andaluz, (Ley Orgánica 2/2007, de 19 de marzo, de reforma del Estatuto de Autonomía para Andalucía) solo recoge en la definición de su territorio, Articulo 2, las provincias: (sic) El territorio de Andalucía comprende el de los municipios de las provincias de Almería, Cádiz, Córdoba, Granada, Huelva, Jaén, Málaga y Sevilla.</w:t>
      </w:r>
    </w:p>
    <w:p w:rsidR="00EC2F1B" w:rsidRPr="00A200C2" w:rsidRDefault="00EC2F1B" w:rsidP="00A200C2">
      <w:pPr>
        <w:autoSpaceDE w:val="0"/>
        <w:autoSpaceDN w:val="0"/>
        <w:adjustRightInd w:val="0"/>
        <w:rPr>
          <w:rFonts w:ascii="Palatino Linotype" w:hAnsi="Palatino Linotype" w:cs="CIDFont+F3"/>
          <w:i/>
          <w:color w:val="282828"/>
          <w:szCs w:val="24"/>
        </w:rPr>
      </w:pPr>
      <w:r w:rsidRPr="00A200C2">
        <w:rPr>
          <w:rFonts w:ascii="Palatino Linotype" w:hAnsi="Palatino Linotype" w:cs="CIDFont+F3"/>
          <w:i/>
          <w:color w:val="282828"/>
          <w:szCs w:val="24"/>
        </w:rPr>
        <w:t xml:space="preserve">Es obvio que de formar </w:t>
      </w:r>
      <w:r w:rsidR="006E240E" w:rsidRPr="00A200C2">
        <w:rPr>
          <w:rFonts w:ascii="Palatino Linotype" w:hAnsi="Palatino Linotype" w:cs="CIDFont+F3"/>
          <w:i/>
          <w:color w:val="282828"/>
          <w:szCs w:val="24"/>
        </w:rPr>
        <w:t>L</w:t>
      </w:r>
      <w:r w:rsidRPr="00A200C2">
        <w:rPr>
          <w:rFonts w:ascii="Palatino Linotype" w:hAnsi="Palatino Linotype" w:cs="CIDFont+F3"/>
          <w:i/>
          <w:color w:val="282828"/>
          <w:szCs w:val="24"/>
        </w:rPr>
        <w:t xml:space="preserve">a </w:t>
      </w:r>
      <w:r w:rsidR="006E240E" w:rsidRPr="00A200C2">
        <w:rPr>
          <w:rFonts w:ascii="Palatino Linotype" w:hAnsi="Palatino Linotype" w:cs="CIDFont+F3"/>
          <w:i/>
          <w:color w:val="282828"/>
          <w:szCs w:val="24"/>
        </w:rPr>
        <w:t>Línea</w:t>
      </w:r>
      <w:r w:rsidRPr="00A200C2">
        <w:rPr>
          <w:rFonts w:ascii="Palatino Linotype" w:hAnsi="Palatino Linotype" w:cs="CIDFont+F3"/>
          <w:i/>
          <w:color w:val="282828"/>
          <w:szCs w:val="24"/>
        </w:rPr>
        <w:t xml:space="preserve"> una nueva comunidad autónoma, que habrá que definir mucho </w:t>
      </w:r>
      <w:r w:rsidR="002D02B1" w:rsidRPr="00A200C2">
        <w:rPr>
          <w:rFonts w:ascii="Palatino Linotype" w:hAnsi="Palatino Linotype" w:cs="CIDFont+F3"/>
          <w:i/>
          <w:color w:val="282828"/>
          <w:szCs w:val="24"/>
        </w:rPr>
        <w:t>más</w:t>
      </w:r>
      <w:r w:rsidRPr="00A200C2">
        <w:rPr>
          <w:rFonts w:ascii="Palatino Linotype" w:hAnsi="Palatino Linotype" w:cs="CIDFont+F3"/>
          <w:i/>
          <w:color w:val="282828"/>
          <w:szCs w:val="24"/>
        </w:rPr>
        <w:t xml:space="preserve"> adelante en las Cortes españolas, no excluiría a Cádiz del territorio andaluz, con lo que la supuesta reforma estatutaria carece de soporte jurídico.</w:t>
      </w:r>
    </w:p>
    <w:p w:rsidR="00EC2F1B" w:rsidRPr="00A200C2" w:rsidRDefault="00EC2F1B" w:rsidP="00A200C2">
      <w:pPr>
        <w:autoSpaceDE w:val="0"/>
        <w:autoSpaceDN w:val="0"/>
        <w:adjustRightInd w:val="0"/>
        <w:rPr>
          <w:rFonts w:ascii="Palatino Linotype" w:hAnsi="Palatino Linotype" w:cs="CIDFont+F3"/>
          <w:i/>
          <w:color w:val="282828"/>
          <w:szCs w:val="24"/>
        </w:rPr>
      </w:pPr>
      <w:r w:rsidRPr="00A200C2">
        <w:rPr>
          <w:rFonts w:ascii="Palatino Linotype" w:hAnsi="Palatino Linotype" w:cs="CIDFont+F3"/>
          <w:i/>
          <w:color w:val="282828"/>
          <w:szCs w:val="24"/>
        </w:rPr>
        <w:t>Por otro lado, para el caso que La Línea tuviera que abandonar la provincia de Cádiz, se precisaría una reforma de Le</w:t>
      </w:r>
      <w:r w:rsidR="006E240E" w:rsidRPr="00A200C2">
        <w:rPr>
          <w:rFonts w:ascii="Palatino Linotype" w:hAnsi="Palatino Linotype" w:cs="CIDFont+F3"/>
          <w:i/>
          <w:color w:val="282828"/>
          <w:szCs w:val="24"/>
        </w:rPr>
        <w:t>y</w:t>
      </w:r>
      <w:r w:rsidRPr="00A200C2">
        <w:rPr>
          <w:rFonts w:ascii="Palatino Linotype" w:hAnsi="Palatino Linotype" w:cs="CIDFont+F3"/>
          <w:i/>
          <w:color w:val="282828"/>
          <w:szCs w:val="24"/>
        </w:rPr>
        <w:t xml:space="preserve"> Orgánica, con mayoría cualificada, lo que tampoco afectaría al Estatuto de </w:t>
      </w:r>
      <w:r w:rsidR="001C2BE9" w:rsidRPr="00A200C2">
        <w:rPr>
          <w:rFonts w:ascii="Palatino Linotype" w:hAnsi="Palatino Linotype" w:cs="CIDFont+F3"/>
          <w:i/>
          <w:color w:val="282828"/>
          <w:szCs w:val="24"/>
        </w:rPr>
        <w:t>Autonomía</w:t>
      </w:r>
      <w:r w:rsidRPr="00A200C2">
        <w:rPr>
          <w:rFonts w:ascii="Palatino Linotype" w:hAnsi="Palatino Linotype" w:cs="CIDFont+F3"/>
          <w:i/>
          <w:color w:val="282828"/>
          <w:szCs w:val="24"/>
        </w:rPr>
        <w:t xml:space="preserve"> de </w:t>
      </w:r>
      <w:r w:rsidR="001C2BE9" w:rsidRPr="00A200C2">
        <w:rPr>
          <w:rFonts w:ascii="Palatino Linotype" w:hAnsi="Palatino Linotype" w:cs="CIDFont+F3"/>
          <w:i/>
          <w:color w:val="282828"/>
          <w:szCs w:val="24"/>
        </w:rPr>
        <w:t xml:space="preserve">Andalucía, como ha ocurrido, en sentido contrario, con la creación del nuevo municipio de San Martin del Tesorillo, o incluso, aventurando un futuro incierto, como el que expresamente recoge la Disposición </w:t>
      </w:r>
      <w:r w:rsidR="001C2BE9" w:rsidRPr="00A200C2">
        <w:rPr>
          <w:rFonts w:ascii="Palatino Linotype" w:hAnsi="Palatino Linotype" w:cs="CIDFont+F3"/>
          <w:i/>
          <w:color w:val="282828"/>
          <w:szCs w:val="24"/>
        </w:rPr>
        <w:lastRenderedPageBreak/>
        <w:t xml:space="preserve">adicional primera, sobre Territorios históricos: “La ampliación de la Comunidad Autónoma a territorios históricos no integrados en otra Comunidad Autónoma se resolverá por las Cortes Generales, previo acuerdo de las partes interesadas </w:t>
      </w:r>
      <w:r w:rsidR="001C2BE9" w:rsidRPr="00A200C2">
        <w:rPr>
          <w:rFonts w:ascii="Palatino Linotype" w:hAnsi="Palatino Linotype" w:cs="CIDFont+F3"/>
          <w:i/>
          <w:color w:val="282828"/>
          <w:szCs w:val="24"/>
          <w:u w:val="single"/>
        </w:rPr>
        <w:t>y sin que ello suponga reforma del presente Estatuto</w:t>
      </w:r>
      <w:r w:rsidR="001C2BE9" w:rsidRPr="00A200C2">
        <w:rPr>
          <w:rFonts w:ascii="Palatino Linotype" w:hAnsi="Palatino Linotype" w:cs="CIDFont+F3"/>
          <w:i/>
          <w:color w:val="282828"/>
          <w:szCs w:val="24"/>
        </w:rPr>
        <w:t>, una vez que dichos territorios hayan vuelto a la soberanía española.</w:t>
      </w:r>
    </w:p>
    <w:p w:rsidR="002D02B1" w:rsidRPr="00A200C2" w:rsidRDefault="002D02B1" w:rsidP="00A200C2">
      <w:pPr>
        <w:autoSpaceDE w:val="0"/>
        <w:autoSpaceDN w:val="0"/>
        <w:adjustRightInd w:val="0"/>
        <w:rPr>
          <w:rFonts w:ascii="CIDFont+F3" w:hAnsi="CIDFont+F3" w:cs="CIDFont+F3"/>
          <w:i/>
          <w:color w:val="282828"/>
          <w:szCs w:val="24"/>
        </w:rPr>
      </w:pPr>
      <w:r w:rsidRPr="00A200C2">
        <w:rPr>
          <w:rFonts w:ascii="Palatino Linotype" w:hAnsi="Palatino Linotype" w:cs="CIDFont+F3"/>
          <w:i/>
          <w:color w:val="282828"/>
          <w:szCs w:val="24"/>
        </w:rPr>
        <w:t>Aspecto, este último, que afecta directa y fundamentalmente a los argumentos históricos a los que se acoge La Línea de la Concepción.</w:t>
      </w:r>
      <w:r w:rsidRPr="00A200C2">
        <w:rPr>
          <w:rFonts w:ascii="CIDFont+F3" w:hAnsi="CIDFont+F3" w:cs="CIDFont+F3"/>
          <w:i/>
          <w:color w:val="282828"/>
          <w:szCs w:val="24"/>
        </w:rPr>
        <w:t xml:space="preserve"> </w:t>
      </w:r>
    </w:p>
    <w:p w:rsidR="00321435" w:rsidRPr="00A200C2" w:rsidRDefault="00321435" w:rsidP="00A200C2">
      <w:pPr>
        <w:autoSpaceDE w:val="0"/>
        <w:autoSpaceDN w:val="0"/>
        <w:adjustRightInd w:val="0"/>
        <w:rPr>
          <w:rFonts w:ascii="CIDFont+F3" w:hAnsi="CIDFont+F3" w:cs="CIDFont+F3"/>
          <w:color w:val="282828"/>
          <w:szCs w:val="24"/>
        </w:rPr>
      </w:pPr>
    </w:p>
    <w:p w:rsidR="00321435" w:rsidRPr="00A200C2" w:rsidRDefault="00321435" w:rsidP="00A200C2">
      <w:pPr>
        <w:autoSpaceDE w:val="0"/>
        <w:autoSpaceDN w:val="0"/>
        <w:adjustRightInd w:val="0"/>
        <w:rPr>
          <w:rFonts w:cs="Arial"/>
          <w:color w:val="282828"/>
          <w:szCs w:val="24"/>
        </w:rPr>
      </w:pPr>
      <w:r w:rsidRPr="00A200C2">
        <w:rPr>
          <w:rFonts w:cs="Arial"/>
          <w:color w:val="282828"/>
          <w:szCs w:val="24"/>
        </w:rPr>
        <w:t>En definitiva, lo planteado como consulta popular no lo es tal. El ejercicio de la consulta</w:t>
      </w:r>
      <w:r w:rsidR="00A4150D" w:rsidRPr="00A200C2">
        <w:rPr>
          <w:rFonts w:cs="Arial"/>
          <w:color w:val="282828"/>
          <w:szCs w:val="24"/>
        </w:rPr>
        <w:t xml:space="preserve"> </w:t>
      </w:r>
      <w:r w:rsidRPr="00A200C2">
        <w:rPr>
          <w:rFonts w:cs="Arial"/>
          <w:color w:val="282828"/>
          <w:szCs w:val="24"/>
        </w:rPr>
        <w:t>que se propone excede claramente del interés local.</w:t>
      </w:r>
      <w:r w:rsidR="00A4150D" w:rsidRPr="00A200C2">
        <w:rPr>
          <w:rFonts w:cs="Arial"/>
          <w:color w:val="282828"/>
          <w:szCs w:val="24"/>
        </w:rPr>
        <w:t xml:space="preserve"> </w:t>
      </w:r>
      <w:r w:rsidRPr="00A200C2">
        <w:rPr>
          <w:rFonts w:cs="Arial"/>
          <w:color w:val="282828"/>
          <w:szCs w:val="24"/>
        </w:rPr>
        <w:t>de modo que quedan excluidos del objeto de las consultas</w:t>
      </w:r>
      <w:r w:rsidR="00A4150D" w:rsidRPr="00A200C2">
        <w:rPr>
          <w:rFonts w:cs="Arial"/>
          <w:color w:val="282828"/>
          <w:szCs w:val="24"/>
        </w:rPr>
        <w:t xml:space="preserve"> </w:t>
      </w:r>
      <w:r w:rsidRPr="00A200C2">
        <w:rPr>
          <w:rFonts w:cs="Arial"/>
          <w:color w:val="282828"/>
          <w:szCs w:val="24"/>
        </w:rPr>
        <w:t>populares municipales aquellos asuntos que, aun teniendo un carácter local y tratar de una</w:t>
      </w:r>
      <w:r w:rsidR="00A4150D" w:rsidRPr="00A200C2">
        <w:rPr>
          <w:rFonts w:cs="Arial"/>
          <w:color w:val="282828"/>
          <w:szCs w:val="24"/>
        </w:rPr>
        <w:t xml:space="preserve"> </w:t>
      </w:r>
      <w:r w:rsidRPr="00A200C2">
        <w:rPr>
          <w:rFonts w:cs="Arial"/>
          <w:color w:val="282828"/>
          <w:szCs w:val="24"/>
        </w:rPr>
        <w:t>materia que sea de especial relevancia para los intereses de los vecinos, afecten a competencias</w:t>
      </w:r>
      <w:r w:rsidR="00A4150D" w:rsidRPr="00A200C2">
        <w:rPr>
          <w:rFonts w:cs="Arial"/>
          <w:color w:val="282828"/>
          <w:szCs w:val="24"/>
        </w:rPr>
        <w:t xml:space="preserve"> </w:t>
      </w:r>
      <w:r w:rsidRPr="00A200C2">
        <w:rPr>
          <w:rFonts w:cs="Arial"/>
          <w:color w:val="282828"/>
          <w:szCs w:val="24"/>
        </w:rPr>
        <w:t>exclusivas del Estado o de las Comunidades Autónomas …”</w:t>
      </w:r>
    </w:p>
    <w:p w:rsidR="002D02B1" w:rsidRPr="00A200C2" w:rsidRDefault="002D02B1" w:rsidP="00A200C2">
      <w:pPr>
        <w:autoSpaceDE w:val="0"/>
        <w:autoSpaceDN w:val="0"/>
        <w:adjustRightInd w:val="0"/>
        <w:rPr>
          <w:rFonts w:ascii="CIDFont+F3" w:hAnsi="CIDFont+F3" w:cs="CIDFont+F3"/>
          <w:color w:val="282828"/>
          <w:szCs w:val="24"/>
        </w:rPr>
      </w:pPr>
    </w:p>
    <w:p w:rsidR="00D4385F" w:rsidRPr="00A200C2" w:rsidRDefault="002D02B1" w:rsidP="00A200C2">
      <w:pPr>
        <w:autoSpaceDE w:val="0"/>
        <w:autoSpaceDN w:val="0"/>
        <w:adjustRightInd w:val="0"/>
        <w:rPr>
          <w:rFonts w:ascii="Times New Roman" w:hAnsi="Times New Roman" w:cs="Times New Roman"/>
          <w:i/>
          <w:color w:val="282828"/>
          <w:szCs w:val="24"/>
        </w:rPr>
      </w:pPr>
      <w:r w:rsidRPr="00A200C2">
        <w:rPr>
          <w:rFonts w:ascii="Times New Roman" w:hAnsi="Times New Roman" w:cs="Times New Roman"/>
          <w:i/>
          <w:color w:val="282828"/>
          <w:szCs w:val="24"/>
        </w:rPr>
        <w:t xml:space="preserve">Para rebatir el párrafo precedente solo hay que retomar la Ley Andaluza de consultas populares, y copiar su art. 2: “Asuntos objeto de la consulta popular local: 1. La consulta popular local </w:t>
      </w:r>
      <w:r w:rsidRPr="00A200C2">
        <w:rPr>
          <w:rFonts w:ascii="Times New Roman" w:hAnsi="Times New Roman" w:cs="Times New Roman"/>
          <w:i/>
          <w:color w:val="282828"/>
          <w:szCs w:val="24"/>
          <w:u w:val="single"/>
        </w:rPr>
        <w:t>es el instrumento de conocimiento de la opinión de los vecinos</w:t>
      </w:r>
      <w:r w:rsidRPr="00A200C2">
        <w:rPr>
          <w:rFonts w:ascii="Times New Roman" w:hAnsi="Times New Roman" w:cs="Times New Roman"/>
          <w:i/>
          <w:color w:val="282828"/>
          <w:szCs w:val="24"/>
        </w:rPr>
        <w:t xml:space="preserve"> sobre asuntos de la competencia propia municipal y de carácter local que sean de especial relevancia para sus intereses, sin que su resultado vincule a la Entidad Local convocante. 2. En ningún caso podrán someterse a consulta popular local asuntos cuando alguna de las opciones a escoger resulte contraria al ordenamiento jurídico. Asimismo, la consulta popular local no podrá menoscabar las facultades de decisión que corresponden a los órganos representativos del municipio. 3. Quedan excluidas de la consulta popular local las materias propias de la Hacienda Local”</w:t>
      </w:r>
    </w:p>
    <w:p w:rsidR="002D02B1" w:rsidRPr="00A200C2" w:rsidRDefault="00D4385F" w:rsidP="00A200C2">
      <w:pPr>
        <w:autoSpaceDE w:val="0"/>
        <w:autoSpaceDN w:val="0"/>
        <w:adjustRightInd w:val="0"/>
        <w:rPr>
          <w:rFonts w:ascii="Times New Roman" w:hAnsi="Times New Roman" w:cs="Times New Roman"/>
          <w:i/>
          <w:color w:val="282828"/>
          <w:szCs w:val="24"/>
        </w:rPr>
      </w:pPr>
      <w:r w:rsidRPr="00A200C2">
        <w:rPr>
          <w:rFonts w:ascii="Times New Roman" w:hAnsi="Times New Roman" w:cs="Times New Roman"/>
          <w:i/>
          <w:color w:val="282828"/>
          <w:szCs w:val="24"/>
        </w:rPr>
        <w:t>Es notorio que una interpretación del citado artículo con los criterios de aplicación de las normas jurídicas que establece el art. 3 del Código Civil, “en el sentido propio de sus palabras”, solo impide las materias propias de la Hacienda Local, que como queda prístino y cristalino en el acuerdo plenario que cuestiona la alegación presentada, no es el caso</w:t>
      </w:r>
      <w:r w:rsidR="00D65629" w:rsidRPr="00A200C2">
        <w:rPr>
          <w:rFonts w:ascii="Times New Roman" w:hAnsi="Times New Roman" w:cs="Times New Roman"/>
          <w:i/>
          <w:color w:val="282828"/>
          <w:szCs w:val="24"/>
        </w:rPr>
        <w:t xml:space="preserve"> ni la materia sobre la que se pretende consultar a la </w:t>
      </w:r>
      <w:r w:rsidR="002C1324" w:rsidRPr="00A200C2">
        <w:rPr>
          <w:rFonts w:ascii="Times New Roman" w:hAnsi="Times New Roman" w:cs="Times New Roman"/>
          <w:i/>
          <w:color w:val="282828"/>
          <w:szCs w:val="24"/>
        </w:rPr>
        <w:t>ciudadanía</w:t>
      </w:r>
      <w:r w:rsidR="002D02B1" w:rsidRPr="00A200C2">
        <w:rPr>
          <w:rFonts w:ascii="Times New Roman" w:hAnsi="Times New Roman" w:cs="Times New Roman"/>
          <w:i/>
          <w:color w:val="282828"/>
          <w:szCs w:val="24"/>
        </w:rPr>
        <w:t>.</w:t>
      </w:r>
    </w:p>
    <w:p w:rsidR="00321435" w:rsidRPr="00A200C2" w:rsidRDefault="00321435" w:rsidP="00A200C2">
      <w:pPr>
        <w:autoSpaceDE w:val="0"/>
        <w:autoSpaceDN w:val="0"/>
        <w:adjustRightInd w:val="0"/>
        <w:rPr>
          <w:rFonts w:ascii="CIDFont+F3" w:hAnsi="CIDFont+F3" w:cs="CIDFont+F3"/>
          <w:color w:val="282828"/>
          <w:szCs w:val="24"/>
        </w:rPr>
      </w:pPr>
    </w:p>
    <w:p w:rsidR="00321435" w:rsidRPr="00A200C2" w:rsidRDefault="00321435" w:rsidP="00A200C2">
      <w:pPr>
        <w:autoSpaceDE w:val="0"/>
        <w:autoSpaceDN w:val="0"/>
        <w:adjustRightInd w:val="0"/>
        <w:rPr>
          <w:rFonts w:cs="Arial"/>
          <w:color w:val="282828"/>
          <w:szCs w:val="24"/>
        </w:rPr>
      </w:pPr>
      <w:r w:rsidRPr="00A200C2">
        <w:rPr>
          <w:rFonts w:cs="Arial"/>
          <w:color w:val="282828"/>
          <w:szCs w:val="24"/>
        </w:rPr>
        <w:t>Para concluir, por guardar íntimamente relación con el asunto que nos ocupa debe resaltarse</w:t>
      </w:r>
      <w:r w:rsidR="00A4150D" w:rsidRPr="00A200C2">
        <w:rPr>
          <w:rFonts w:cs="Arial"/>
          <w:color w:val="282828"/>
          <w:szCs w:val="24"/>
        </w:rPr>
        <w:t xml:space="preserve"> </w:t>
      </w:r>
      <w:r w:rsidRPr="00A200C2">
        <w:rPr>
          <w:rFonts w:cs="Arial"/>
          <w:color w:val="282828"/>
          <w:szCs w:val="24"/>
        </w:rPr>
        <w:t>que en el año 1998 el Ayuntamiento de Algeciras planteó autorización ante el Consejo</w:t>
      </w:r>
      <w:r w:rsidR="00A4150D" w:rsidRPr="00A200C2">
        <w:rPr>
          <w:rFonts w:cs="Arial"/>
          <w:color w:val="282828"/>
          <w:szCs w:val="24"/>
        </w:rPr>
        <w:t xml:space="preserve"> </w:t>
      </w:r>
      <w:r w:rsidRPr="00A200C2">
        <w:rPr>
          <w:rFonts w:cs="Arial"/>
          <w:color w:val="282828"/>
          <w:szCs w:val="24"/>
        </w:rPr>
        <w:t>de Ministros para convocatoria de consulta popular relativa a la segregación del municipio de</w:t>
      </w:r>
      <w:r w:rsidR="00A4150D" w:rsidRPr="00A200C2">
        <w:rPr>
          <w:rFonts w:cs="Arial"/>
          <w:color w:val="282828"/>
          <w:szCs w:val="24"/>
        </w:rPr>
        <w:t xml:space="preserve"> </w:t>
      </w:r>
      <w:r w:rsidRPr="00A200C2">
        <w:rPr>
          <w:rFonts w:cs="Arial"/>
          <w:color w:val="282828"/>
          <w:szCs w:val="24"/>
        </w:rPr>
        <w:t>la provincia de Cádiz para convertirse en la novena provincia andaluza.</w:t>
      </w:r>
    </w:p>
    <w:p w:rsidR="00321435" w:rsidRPr="00A200C2" w:rsidRDefault="00321435" w:rsidP="00A200C2">
      <w:pPr>
        <w:autoSpaceDE w:val="0"/>
        <w:autoSpaceDN w:val="0"/>
        <w:adjustRightInd w:val="0"/>
        <w:rPr>
          <w:rFonts w:cs="Arial"/>
          <w:color w:val="282828"/>
          <w:szCs w:val="24"/>
        </w:rPr>
      </w:pPr>
      <w:r w:rsidRPr="00A200C2">
        <w:rPr>
          <w:rFonts w:cs="Arial"/>
          <w:color w:val="282828"/>
          <w:szCs w:val="24"/>
        </w:rPr>
        <w:t>“…En efecto, la constitución de una nueva provincia, a costa -inevitablemente- de</w:t>
      </w:r>
      <w:r w:rsidR="00EB3482">
        <w:rPr>
          <w:rFonts w:cs="Arial"/>
          <w:color w:val="282828"/>
          <w:szCs w:val="24"/>
        </w:rPr>
        <w:t xml:space="preserve"> </w:t>
      </w:r>
      <w:r w:rsidRPr="00A200C2">
        <w:rPr>
          <w:rFonts w:cs="Arial"/>
          <w:color w:val="282828"/>
          <w:szCs w:val="24"/>
        </w:rPr>
        <w:t>desgajar parte de otra u otras preexistentes es un «asunto» que supera el ámbito local para encuadrarse</w:t>
      </w:r>
      <w:r w:rsidR="00A4150D" w:rsidRPr="00A200C2">
        <w:rPr>
          <w:rFonts w:cs="Arial"/>
          <w:color w:val="282828"/>
          <w:szCs w:val="24"/>
        </w:rPr>
        <w:t xml:space="preserve"> </w:t>
      </w:r>
      <w:r w:rsidRPr="00A200C2">
        <w:rPr>
          <w:rFonts w:cs="Arial"/>
          <w:color w:val="282828"/>
          <w:szCs w:val="24"/>
        </w:rPr>
        <w:t>en ámbitos supralocales tanto de orden comarcal (con razón alegan diversos informes</w:t>
      </w:r>
      <w:r w:rsidR="00A4150D" w:rsidRPr="00A200C2">
        <w:rPr>
          <w:rFonts w:cs="Arial"/>
          <w:color w:val="282828"/>
          <w:szCs w:val="24"/>
        </w:rPr>
        <w:t xml:space="preserve"> </w:t>
      </w:r>
      <w:r w:rsidRPr="00A200C2">
        <w:rPr>
          <w:rFonts w:cs="Arial"/>
          <w:color w:val="282828"/>
          <w:szCs w:val="24"/>
        </w:rPr>
        <w:t>que afectaría a los municipios de Los Barrios, Castellar de la Frontera, Jimena de la Frontera, La</w:t>
      </w:r>
      <w:r w:rsidR="00A4150D" w:rsidRPr="00A200C2">
        <w:rPr>
          <w:rFonts w:cs="Arial"/>
          <w:color w:val="282828"/>
          <w:szCs w:val="24"/>
        </w:rPr>
        <w:t xml:space="preserve"> </w:t>
      </w:r>
      <w:r w:rsidRPr="00A200C2">
        <w:rPr>
          <w:rFonts w:cs="Arial"/>
          <w:color w:val="282828"/>
          <w:szCs w:val="24"/>
        </w:rPr>
        <w:t>Línea de la Concepción, San Roque y Tarifa, entre otros) como provincial, autonómico y estatal.</w:t>
      </w:r>
    </w:p>
    <w:p w:rsidR="00D4385F" w:rsidRPr="00A200C2" w:rsidRDefault="00D4385F" w:rsidP="00A200C2">
      <w:pPr>
        <w:autoSpaceDE w:val="0"/>
        <w:autoSpaceDN w:val="0"/>
        <w:adjustRightInd w:val="0"/>
        <w:rPr>
          <w:rFonts w:ascii="CIDFont+F3" w:hAnsi="CIDFont+F3" w:cs="CIDFont+F3"/>
          <w:color w:val="282828"/>
          <w:szCs w:val="24"/>
        </w:rPr>
      </w:pPr>
    </w:p>
    <w:p w:rsidR="00D4385F" w:rsidRPr="00A200C2" w:rsidRDefault="00A753E2" w:rsidP="00A200C2">
      <w:pPr>
        <w:autoSpaceDE w:val="0"/>
        <w:autoSpaceDN w:val="0"/>
        <w:adjustRightInd w:val="0"/>
        <w:rPr>
          <w:rFonts w:ascii="Times New Roman" w:hAnsi="Times New Roman" w:cs="Times New Roman"/>
          <w:i/>
          <w:color w:val="282828"/>
          <w:szCs w:val="24"/>
        </w:rPr>
      </w:pPr>
      <w:r w:rsidRPr="00A200C2">
        <w:rPr>
          <w:rFonts w:ascii="Times New Roman" w:hAnsi="Times New Roman" w:cs="Times New Roman"/>
          <w:i/>
          <w:color w:val="282828"/>
          <w:szCs w:val="24"/>
        </w:rPr>
        <w:t>Traer la propuesta de 1998 del Ayuntamiento de Algeciras como argumento similar al que pretende La Línea, nos parece, dicho sea en términos de respeto, una argumentación falaz, ya que mientras Algeciras pretendía extender</w:t>
      </w:r>
      <w:r w:rsidR="00D65629" w:rsidRPr="00A200C2">
        <w:rPr>
          <w:rFonts w:ascii="Times New Roman" w:hAnsi="Times New Roman" w:cs="Times New Roman"/>
          <w:i/>
          <w:color w:val="282828"/>
          <w:szCs w:val="24"/>
        </w:rPr>
        <w:t xml:space="preserve"> el resultado de</w:t>
      </w:r>
      <w:r w:rsidRPr="00A200C2">
        <w:rPr>
          <w:rFonts w:ascii="Times New Roman" w:hAnsi="Times New Roman" w:cs="Times New Roman"/>
          <w:i/>
          <w:color w:val="282828"/>
          <w:szCs w:val="24"/>
        </w:rPr>
        <w:t xml:space="preserve"> su consulta a los municipios que la </w:t>
      </w:r>
      <w:proofErr w:type="spellStart"/>
      <w:r w:rsidRPr="00A200C2">
        <w:rPr>
          <w:rFonts w:ascii="Times New Roman" w:hAnsi="Times New Roman" w:cs="Times New Roman"/>
          <w:i/>
          <w:color w:val="282828"/>
          <w:szCs w:val="24"/>
        </w:rPr>
        <w:t>alegante</w:t>
      </w:r>
      <w:proofErr w:type="spellEnd"/>
      <w:r w:rsidRPr="00A200C2">
        <w:rPr>
          <w:rFonts w:ascii="Times New Roman" w:hAnsi="Times New Roman" w:cs="Times New Roman"/>
          <w:i/>
          <w:color w:val="282828"/>
          <w:szCs w:val="24"/>
        </w:rPr>
        <w:t xml:space="preserve"> cita</w:t>
      </w:r>
      <w:r w:rsidR="00EB3482" w:rsidRPr="00EB3482">
        <w:rPr>
          <w:rFonts w:ascii="Times New Roman" w:hAnsi="Times New Roman" w:cs="Times New Roman"/>
          <w:i/>
          <w:color w:val="282828"/>
          <w:szCs w:val="24"/>
        </w:rPr>
        <w:t xml:space="preserve"> </w:t>
      </w:r>
      <w:r w:rsidR="00EB3482" w:rsidRPr="00A200C2">
        <w:rPr>
          <w:rFonts w:ascii="Times New Roman" w:hAnsi="Times New Roman" w:cs="Times New Roman"/>
          <w:i/>
          <w:color w:val="282828"/>
          <w:szCs w:val="24"/>
        </w:rPr>
        <w:t>sin contar siquiera con el apoyo de sus respectivas corporaciones</w:t>
      </w:r>
      <w:r w:rsidRPr="00A200C2">
        <w:rPr>
          <w:rFonts w:ascii="Times New Roman" w:hAnsi="Times New Roman" w:cs="Times New Roman"/>
          <w:i/>
          <w:color w:val="282828"/>
          <w:szCs w:val="24"/>
        </w:rPr>
        <w:t xml:space="preserve">, y a alguno que otro de la provincia de Málaga, como </w:t>
      </w:r>
      <w:proofErr w:type="spellStart"/>
      <w:r w:rsidRPr="00A200C2">
        <w:rPr>
          <w:rFonts w:ascii="Times New Roman" w:hAnsi="Times New Roman" w:cs="Times New Roman"/>
          <w:i/>
          <w:color w:val="282828"/>
          <w:szCs w:val="24"/>
        </w:rPr>
        <w:lastRenderedPageBreak/>
        <w:t>Manilva</w:t>
      </w:r>
      <w:proofErr w:type="spellEnd"/>
      <w:r w:rsidRPr="00A200C2">
        <w:rPr>
          <w:rFonts w:ascii="Times New Roman" w:hAnsi="Times New Roman" w:cs="Times New Roman"/>
          <w:i/>
          <w:color w:val="282828"/>
          <w:szCs w:val="24"/>
        </w:rPr>
        <w:t>, dato que se obvia, seguramente por olvido, no por mala fe,</w:t>
      </w:r>
      <w:r w:rsidR="004D4FA4" w:rsidRPr="00A200C2">
        <w:rPr>
          <w:rFonts w:ascii="Times New Roman" w:hAnsi="Times New Roman" w:cs="Times New Roman"/>
          <w:i/>
          <w:color w:val="282828"/>
          <w:szCs w:val="24"/>
        </w:rPr>
        <w:t>;</w:t>
      </w:r>
      <w:r w:rsidRPr="00A200C2">
        <w:rPr>
          <w:rFonts w:ascii="Times New Roman" w:hAnsi="Times New Roman" w:cs="Times New Roman"/>
          <w:i/>
          <w:color w:val="282828"/>
          <w:szCs w:val="24"/>
        </w:rPr>
        <w:t xml:space="preserve"> la petición que hace La </w:t>
      </w:r>
      <w:r w:rsidR="00D65629" w:rsidRPr="00A200C2">
        <w:rPr>
          <w:rFonts w:ascii="Times New Roman" w:hAnsi="Times New Roman" w:cs="Times New Roman"/>
          <w:i/>
          <w:color w:val="282828"/>
          <w:szCs w:val="24"/>
        </w:rPr>
        <w:t>Línea</w:t>
      </w:r>
      <w:r w:rsidRPr="00A200C2">
        <w:rPr>
          <w:rFonts w:ascii="Times New Roman" w:hAnsi="Times New Roman" w:cs="Times New Roman"/>
          <w:i/>
          <w:color w:val="282828"/>
          <w:szCs w:val="24"/>
        </w:rPr>
        <w:t xml:space="preserve">, le afecta solo a </w:t>
      </w:r>
      <w:r w:rsidR="004D4FA4" w:rsidRPr="00A200C2">
        <w:rPr>
          <w:rFonts w:ascii="Times New Roman" w:hAnsi="Times New Roman" w:cs="Times New Roman"/>
          <w:i/>
          <w:color w:val="282828"/>
          <w:szCs w:val="24"/>
        </w:rPr>
        <w:t>ella</w:t>
      </w:r>
      <w:r w:rsidR="00D65629" w:rsidRPr="00A200C2">
        <w:rPr>
          <w:rFonts w:ascii="Times New Roman" w:hAnsi="Times New Roman" w:cs="Times New Roman"/>
          <w:i/>
          <w:color w:val="282828"/>
          <w:szCs w:val="24"/>
        </w:rPr>
        <w:t>.</w:t>
      </w:r>
    </w:p>
    <w:p w:rsidR="00321435" w:rsidRPr="00A200C2" w:rsidRDefault="00321435" w:rsidP="00A200C2">
      <w:pPr>
        <w:autoSpaceDE w:val="0"/>
        <w:autoSpaceDN w:val="0"/>
        <w:adjustRightInd w:val="0"/>
        <w:rPr>
          <w:rFonts w:ascii="CIDFont+F3" w:hAnsi="CIDFont+F3" w:cs="CIDFont+F3"/>
          <w:color w:val="282828"/>
          <w:szCs w:val="24"/>
        </w:rPr>
      </w:pPr>
    </w:p>
    <w:p w:rsidR="00321435" w:rsidRPr="00A200C2" w:rsidRDefault="00321435" w:rsidP="00A200C2">
      <w:pPr>
        <w:autoSpaceDE w:val="0"/>
        <w:autoSpaceDN w:val="0"/>
        <w:adjustRightInd w:val="0"/>
        <w:rPr>
          <w:rFonts w:ascii="CIDFont+F3" w:hAnsi="CIDFont+F3" w:cs="CIDFont+F3"/>
          <w:color w:val="282828"/>
          <w:szCs w:val="24"/>
        </w:rPr>
      </w:pPr>
      <w:r w:rsidRPr="00EC29B3">
        <w:rPr>
          <w:rFonts w:cs="Arial"/>
          <w:color w:val="282828"/>
          <w:szCs w:val="24"/>
        </w:rPr>
        <w:t>Dicha provincia, a tenor de lo dispuesto en los artículos 137 y 141 de la</w:t>
      </w:r>
      <w:r w:rsidR="00EC29B3">
        <w:rPr>
          <w:rFonts w:cs="Arial"/>
          <w:color w:val="282828"/>
          <w:szCs w:val="24"/>
        </w:rPr>
        <w:t xml:space="preserve"> </w:t>
      </w:r>
      <w:r w:rsidRPr="00EC29B3">
        <w:rPr>
          <w:rFonts w:cs="Arial"/>
          <w:color w:val="282828"/>
          <w:szCs w:val="24"/>
        </w:rPr>
        <w:t>Constitución Española -que responden a un sistema de distribución territorial del poder del Estado</w:t>
      </w:r>
      <w:r w:rsidR="00A4150D" w:rsidRPr="00EC29B3">
        <w:rPr>
          <w:rFonts w:cs="Arial"/>
          <w:color w:val="282828"/>
          <w:szCs w:val="24"/>
        </w:rPr>
        <w:t xml:space="preserve"> </w:t>
      </w:r>
      <w:r w:rsidRPr="00EC29B3">
        <w:rPr>
          <w:rFonts w:cs="Arial"/>
          <w:color w:val="282828"/>
          <w:szCs w:val="24"/>
        </w:rPr>
        <w:t>garante de la autonomía provincial (Sentencia del Tribunal Constitucional número 31/1981, de 28</w:t>
      </w:r>
      <w:r w:rsidR="00A4150D" w:rsidRPr="00EC29B3">
        <w:rPr>
          <w:rFonts w:cs="Arial"/>
          <w:color w:val="282828"/>
          <w:szCs w:val="24"/>
        </w:rPr>
        <w:t xml:space="preserve"> </w:t>
      </w:r>
      <w:r w:rsidRPr="00EC29B3">
        <w:rPr>
          <w:rFonts w:cs="Arial"/>
          <w:color w:val="282828"/>
          <w:szCs w:val="24"/>
        </w:rPr>
        <w:t>de julio [ RTC 1981\31])no puede ver mermada su actual integridad territorial sino a través de una</w:t>
      </w:r>
      <w:r w:rsidR="00A4150D" w:rsidRPr="00EC29B3">
        <w:rPr>
          <w:rFonts w:cs="Arial"/>
          <w:color w:val="282828"/>
          <w:szCs w:val="24"/>
        </w:rPr>
        <w:t xml:space="preserve"> </w:t>
      </w:r>
      <w:r w:rsidRPr="00EC29B3">
        <w:rPr>
          <w:rFonts w:cs="Arial"/>
          <w:color w:val="282828"/>
          <w:szCs w:val="24"/>
        </w:rPr>
        <w:t>ley orgánica, lo que evidencia que el constituyente consideraba esta cuestión como una de las que,</w:t>
      </w:r>
      <w:r w:rsidR="00A4150D" w:rsidRPr="00EC29B3">
        <w:rPr>
          <w:rFonts w:cs="Arial"/>
          <w:color w:val="282828"/>
          <w:szCs w:val="24"/>
        </w:rPr>
        <w:t xml:space="preserve"> </w:t>
      </w:r>
      <w:r w:rsidRPr="00EC29B3">
        <w:rPr>
          <w:rFonts w:cs="Arial"/>
          <w:color w:val="282828"/>
          <w:szCs w:val="24"/>
        </w:rPr>
        <w:t>por su importancia en la vertebración territorial del Estado mismo y por afectar a intereses muy</w:t>
      </w:r>
      <w:r w:rsidR="00A4150D" w:rsidRPr="00EC29B3">
        <w:rPr>
          <w:rFonts w:cs="Arial"/>
          <w:color w:val="282828"/>
          <w:szCs w:val="24"/>
        </w:rPr>
        <w:t xml:space="preserve"> </w:t>
      </w:r>
      <w:r w:rsidRPr="00EC29B3">
        <w:rPr>
          <w:rFonts w:cs="Arial"/>
          <w:color w:val="282828"/>
          <w:szCs w:val="24"/>
        </w:rPr>
        <w:t>caracterizados de orden supralocal, requiere la intervención de las Cortes Generales, y precisamente</w:t>
      </w:r>
      <w:r w:rsidR="00A753E2" w:rsidRPr="00EC29B3">
        <w:rPr>
          <w:rFonts w:cs="Arial"/>
          <w:color w:val="282828"/>
          <w:szCs w:val="24"/>
        </w:rPr>
        <w:t xml:space="preserve"> </w:t>
      </w:r>
      <w:r w:rsidRPr="00EC29B3">
        <w:rPr>
          <w:rFonts w:cs="Arial"/>
          <w:color w:val="282828"/>
          <w:szCs w:val="24"/>
        </w:rPr>
        <w:t>mediante un instrumento legislativo cualificado, cual es la Ley Orgánica objeto de aprobación</w:t>
      </w:r>
      <w:r w:rsidR="00A4150D" w:rsidRPr="00EC29B3">
        <w:rPr>
          <w:rFonts w:cs="Arial"/>
          <w:color w:val="282828"/>
          <w:szCs w:val="24"/>
        </w:rPr>
        <w:t xml:space="preserve"> </w:t>
      </w:r>
      <w:r w:rsidRPr="00EC29B3">
        <w:rPr>
          <w:rFonts w:cs="Arial"/>
          <w:color w:val="282828"/>
          <w:szCs w:val="24"/>
        </w:rPr>
        <w:t>por mayoría absoluta del Congreso.</w:t>
      </w:r>
    </w:p>
    <w:p w:rsidR="004D4FA4" w:rsidRPr="00A200C2" w:rsidRDefault="004D4FA4" w:rsidP="00A200C2">
      <w:pPr>
        <w:autoSpaceDE w:val="0"/>
        <w:autoSpaceDN w:val="0"/>
        <w:adjustRightInd w:val="0"/>
        <w:rPr>
          <w:rFonts w:ascii="CIDFont+F3" w:hAnsi="CIDFont+F3" w:cs="CIDFont+F3"/>
          <w:color w:val="282828"/>
          <w:szCs w:val="24"/>
        </w:rPr>
      </w:pPr>
    </w:p>
    <w:p w:rsidR="004D4FA4" w:rsidRPr="00EC29B3" w:rsidRDefault="004D4FA4" w:rsidP="00A200C2">
      <w:pPr>
        <w:autoSpaceDE w:val="0"/>
        <w:autoSpaceDN w:val="0"/>
        <w:adjustRightInd w:val="0"/>
        <w:rPr>
          <w:rFonts w:ascii="Palatino Linotype" w:hAnsi="Palatino Linotype" w:cs="CIDFont+F3"/>
          <w:i/>
          <w:color w:val="282828"/>
          <w:szCs w:val="24"/>
        </w:rPr>
      </w:pPr>
      <w:r w:rsidRPr="00EC29B3">
        <w:rPr>
          <w:rFonts w:ascii="Palatino Linotype" w:hAnsi="Palatino Linotype" w:cs="CIDFont+F3"/>
          <w:i/>
          <w:color w:val="282828"/>
          <w:szCs w:val="24"/>
        </w:rPr>
        <w:t xml:space="preserve">Nada que oponer a este argumento. Es lo que pretendemos, hacer una consulta, y si el resultado es favorable, de acuerdo con la normativa vigente proceder a modificar las leyes que se sean precisas, tal como se hizo en 1980 con el Estatuto de Andalucía, cuando el referéndum del 28 de febrero no superó la mayoría que se precisaba en </w:t>
      </w:r>
      <w:r w:rsidR="002C59B1" w:rsidRPr="00EC29B3">
        <w:rPr>
          <w:rFonts w:ascii="Palatino Linotype" w:hAnsi="Palatino Linotype" w:cs="CIDFont+F3"/>
          <w:i/>
          <w:color w:val="282828"/>
          <w:szCs w:val="24"/>
        </w:rPr>
        <w:t>Almería</w:t>
      </w:r>
      <w:r w:rsidRPr="00EC29B3">
        <w:rPr>
          <w:rFonts w:ascii="Palatino Linotype" w:hAnsi="Palatino Linotype" w:cs="CIDFont+F3"/>
          <w:i/>
          <w:color w:val="282828"/>
          <w:szCs w:val="24"/>
        </w:rPr>
        <w:t>. Varios años de negociaciones en las Cortes</w:t>
      </w:r>
      <w:r w:rsidR="002C59B1" w:rsidRPr="00EC29B3">
        <w:rPr>
          <w:rFonts w:ascii="Palatino Linotype" w:hAnsi="Palatino Linotype" w:cs="CIDFont+F3"/>
          <w:i/>
          <w:color w:val="282828"/>
          <w:szCs w:val="24"/>
        </w:rPr>
        <w:t xml:space="preserve"> hicieron falta para modificar la legislación vigente de la época hasta conseguir que el Estatuto andaluz pareciera del 151 de la CE.</w:t>
      </w:r>
      <w:r w:rsidRPr="00EC29B3">
        <w:rPr>
          <w:rFonts w:ascii="Palatino Linotype" w:hAnsi="Palatino Linotype" w:cs="CIDFont+F3"/>
          <w:i/>
          <w:color w:val="282828"/>
          <w:szCs w:val="24"/>
        </w:rPr>
        <w:t xml:space="preserve"> </w:t>
      </w:r>
      <w:r w:rsidR="00C96B03" w:rsidRPr="00EC29B3">
        <w:rPr>
          <w:rFonts w:ascii="Palatino Linotype" w:hAnsi="Palatino Linotype" w:cs="CIDFont+F3"/>
          <w:i/>
          <w:color w:val="282828"/>
          <w:szCs w:val="24"/>
        </w:rPr>
        <w:t>Por lo que es preciso destacar la utilización de párrafo c) que permite a las Cortes Generales sustituir la iniciativa de las Corporaciones locales a que se refiere el apartado 2 del art. 143. Este párrafo ha sido utilizado en los casos de Almería y Segovia. En cuanto al primero de ellos, hay que recordar que el art. 151.1 CE establece un procedimiento para acceder a la autonomía plena que exige, entre otras cosas, que la iniciativa sea ratificada mediante referéndum por el voto afirmativo de la mayoría absoluta de los electores de cada provincia. En el caso andaluz, el referéndum celebrado el 28 de febrero de 1980 supuso que la iniciativa fuera aprobada en todas las provincias salvo en la de Almería. Para solventar el problema de la paralización de la iniciativa y consiguiente acceso de Andalucía a la autonomía por la vía del art. 151 se aprobó primeramente la Ley Orgánica 12/1980, de 16 de diciembre, de modificación del párrafo cuarto del artículo 8 de la Ley Orgánica 2/1980, de 18 de enero, reguladora de las distintas modalidades de Referéndum. En su virtud, "previa solicitud de la mayoría de los Diputados y Senadores de la provincia o provincias en las que no se hubiera obtenido la ratificación de la iniciativa, las Cortes Generales, mediante Ley Orgánica, podrán sustituir la iniciativa autonómica prevista en el artículo 151 siempre que concurran los requisitos previstos en el párrafo anterior". Tras esa modificación, se aprobó la Ley Orgánica 13/1980, de 16 de diciembre, de sustitución en la provincia de Almería de la iniciativa autonómica.</w:t>
      </w:r>
    </w:p>
    <w:p w:rsidR="00321435" w:rsidRPr="00A200C2" w:rsidRDefault="00321435" w:rsidP="00A200C2">
      <w:pPr>
        <w:autoSpaceDE w:val="0"/>
        <w:autoSpaceDN w:val="0"/>
        <w:adjustRightInd w:val="0"/>
        <w:rPr>
          <w:rFonts w:ascii="CIDFont+F3" w:hAnsi="CIDFont+F3" w:cs="CIDFont+F3"/>
          <w:color w:val="282828"/>
          <w:szCs w:val="24"/>
        </w:rPr>
      </w:pPr>
    </w:p>
    <w:p w:rsidR="00321435" w:rsidRPr="00A200C2" w:rsidRDefault="00321435" w:rsidP="00A200C2">
      <w:pPr>
        <w:autoSpaceDE w:val="0"/>
        <w:autoSpaceDN w:val="0"/>
        <w:adjustRightInd w:val="0"/>
        <w:rPr>
          <w:rFonts w:ascii="CIDFont+F3" w:hAnsi="CIDFont+F3" w:cs="CIDFont+F3"/>
          <w:color w:val="282828"/>
          <w:szCs w:val="24"/>
        </w:rPr>
      </w:pPr>
      <w:r w:rsidRPr="00A200C2">
        <w:rPr>
          <w:rFonts w:ascii="CIDFont+F3" w:hAnsi="CIDFont+F3" w:cs="CIDFont+F3"/>
          <w:color w:val="282828"/>
          <w:szCs w:val="24"/>
        </w:rPr>
        <w:t>la provincia constituye también un elemento territorial clave en la articulación</w:t>
      </w:r>
      <w:r w:rsidR="002C59B1" w:rsidRPr="00A200C2">
        <w:rPr>
          <w:rFonts w:ascii="CIDFont+F3" w:hAnsi="CIDFont+F3" w:cs="CIDFont+F3"/>
          <w:color w:val="282828"/>
          <w:szCs w:val="24"/>
        </w:rPr>
        <w:t xml:space="preserve"> </w:t>
      </w:r>
      <w:r w:rsidRPr="00A200C2">
        <w:rPr>
          <w:rFonts w:ascii="CIDFont+F3" w:hAnsi="CIDFont+F3" w:cs="CIDFont+F3"/>
          <w:color w:val="282828"/>
          <w:szCs w:val="24"/>
        </w:rPr>
        <w:t>de funciones propiamente estatales en cuanto que, por virtud de los artículos 68 y 69 de la Constitución,</w:t>
      </w:r>
      <w:r w:rsidR="00A4150D" w:rsidRPr="00A200C2">
        <w:rPr>
          <w:rFonts w:ascii="CIDFont+F3" w:hAnsi="CIDFont+F3" w:cs="CIDFont+F3"/>
          <w:color w:val="282828"/>
          <w:szCs w:val="24"/>
        </w:rPr>
        <w:t xml:space="preserve"> </w:t>
      </w:r>
      <w:r w:rsidRPr="00A200C2">
        <w:rPr>
          <w:rFonts w:ascii="CIDFont+F3" w:hAnsi="CIDFont+F3" w:cs="CIDFont+F3"/>
          <w:color w:val="282828"/>
          <w:szCs w:val="24"/>
        </w:rPr>
        <w:t>resulta ser «la circunscripción electoral» para elegir Diputados y Senadores, de modo que</w:t>
      </w:r>
      <w:r w:rsidR="00AA369C" w:rsidRPr="00A200C2">
        <w:rPr>
          <w:rFonts w:ascii="CIDFont+F3" w:hAnsi="CIDFont+F3" w:cs="CIDFont+F3"/>
          <w:color w:val="282828"/>
          <w:szCs w:val="24"/>
        </w:rPr>
        <w:t xml:space="preserve"> la ampliaci</w:t>
      </w:r>
      <w:r w:rsidR="00A4150D" w:rsidRPr="00A200C2">
        <w:rPr>
          <w:rFonts w:ascii="CIDFont+F3" w:hAnsi="CIDFont+F3" w:cs="CIDFont+F3"/>
          <w:color w:val="282828"/>
          <w:szCs w:val="24"/>
        </w:rPr>
        <w:t>ón del número de provincias –</w:t>
      </w:r>
      <w:r w:rsidR="00A4150D" w:rsidRPr="00A200C2">
        <w:rPr>
          <w:rFonts w:ascii="CIDFont+F3" w:hAnsi="CIDFont+F3" w:cs="CIDFont+F3"/>
          <w:color w:val="282828"/>
          <w:szCs w:val="24"/>
        </w:rPr>
        <w:lastRenderedPageBreak/>
        <w:t>si c</w:t>
      </w:r>
      <w:r w:rsidR="00AA369C" w:rsidRPr="00A200C2">
        <w:rPr>
          <w:rFonts w:ascii="CIDFont+F3" w:hAnsi="CIDFont+F3" w:cs="CIDFont+F3"/>
          <w:color w:val="282828"/>
          <w:szCs w:val="24"/>
        </w:rPr>
        <w:t>onstitucionalmente fuera posible- alteraría simultáneamente</w:t>
      </w:r>
      <w:r w:rsidR="00A4150D" w:rsidRPr="00A200C2">
        <w:rPr>
          <w:rFonts w:ascii="CIDFont+F3" w:hAnsi="CIDFont+F3" w:cs="CIDFont+F3"/>
          <w:color w:val="282828"/>
          <w:szCs w:val="24"/>
        </w:rPr>
        <w:t xml:space="preserve"> </w:t>
      </w:r>
      <w:r w:rsidR="00AA369C" w:rsidRPr="00A200C2">
        <w:rPr>
          <w:rFonts w:ascii="CIDFont+F3" w:hAnsi="CIDFont+F3" w:cs="CIDFont+F3"/>
          <w:color w:val="282828"/>
          <w:szCs w:val="24"/>
        </w:rPr>
        <w:t>el sistema electoral.”</w:t>
      </w:r>
    </w:p>
    <w:p w:rsidR="002C59B1" w:rsidRPr="00A200C2" w:rsidRDefault="002C59B1" w:rsidP="00A200C2">
      <w:pPr>
        <w:autoSpaceDE w:val="0"/>
        <w:autoSpaceDN w:val="0"/>
        <w:adjustRightInd w:val="0"/>
        <w:rPr>
          <w:rFonts w:ascii="CIDFont+F3" w:hAnsi="CIDFont+F3" w:cs="CIDFont+F3"/>
          <w:color w:val="282828"/>
          <w:szCs w:val="24"/>
        </w:rPr>
      </w:pPr>
    </w:p>
    <w:p w:rsidR="00F94AE0" w:rsidRPr="00EC29B3" w:rsidRDefault="002C59B1" w:rsidP="00A200C2">
      <w:pPr>
        <w:autoSpaceDE w:val="0"/>
        <w:autoSpaceDN w:val="0"/>
        <w:adjustRightInd w:val="0"/>
        <w:rPr>
          <w:rFonts w:ascii="Palatino Linotype" w:hAnsi="Palatino Linotype" w:cs="CIDFont+F3"/>
          <w:i/>
          <w:color w:val="282828"/>
          <w:szCs w:val="24"/>
        </w:rPr>
      </w:pPr>
      <w:r w:rsidRPr="00EC29B3">
        <w:rPr>
          <w:rFonts w:ascii="Palatino Linotype" w:hAnsi="Palatino Linotype" w:cs="CIDFont+F3"/>
          <w:i/>
          <w:color w:val="282828"/>
          <w:szCs w:val="24"/>
        </w:rPr>
        <w:t xml:space="preserve">Evidentemente la </w:t>
      </w:r>
      <w:proofErr w:type="spellStart"/>
      <w:r w:rsidRPr="00EC29B3">
        <w:rPr>
          <w:rFonts w:ascii="Palatino Linotype" w:hAnsi="Palatino Linotype" w:cs="CIDFont+F3"/>
          <w:i/>
          <w:color w:val="282828"/>
          <w:szCs w:val="24"/>
        </w:rPr>
        <w:t>alegante</w:t>
      </w:r>
      <w:proofErr w:type="spellEnd"/>
      <w:r w:rsidRPr="00EC29B3">
        <w:rPr>
          <w:rFonts w:ascii="Palatino Linotype" w:hAnsi="Palatino Linotype" w:cs="CIDFont+F3"/>
          <w:i/>
          <w:color w:val="282828"/>
          <w:szCs w:val="24"/>
        </w:rPr>
        <w:t xml:space="preserve"> comete un error de apreciación: La </w:t>
      </w:r>
      <w:r w:rsidR="00F94AE0" w:rsidRPr="00EC29B3">
        <w:rPr>
          <w:rFonts w:ascii="Palatino Linotype" w:hAnsi="Palatino Linotype" w:cs="CIDFont+F3"/>
          <w:i/>
          <w:color w:val="282828"/>
          <w:szCs w:val="24"/>
        </w:rPr>
        <w:t>Línea</w:t>
      </w:r>
      <w:r w:rsidRPr="00EC29B3">
        <w:rPr>
          <w:rFonts w:ascii="Palatino Linotype" w:hAnsi="Palatino Linotype" w:cs="CIDFont+F3"/>
          <w:i/>
          <w:color w:val="282828"/>
          <w:szCs w:val="24"/>
        </w:rPr>
        <w:t xml:space="preserve"> no pretende ser una nueva provincia. Pretende tener una consideración cercana a la que establece el Tribunal Constitucional en su</w:t>
      </w:r>
      <w:r w:rsidR="00F94AE0" w:rsidRPr="00EC29B3">
        <w:rPr>
          <w:rFonts w:ascii="Palatino Linotype" w:hAnsi="Palatino Linotype" w:cs="CIDFont+F3"/>
          <w:i/>
          <w:color w:val="282828"/>
          <w:szCs w:val="24"/>
        </w:rPr>
        <w:t>s</w:t>
      </w:r>
      <w:r w:rsidRPr="00EC29B3">
        <w:rPr>
          <w:rFonts w:ascii="Palatino Linotype" w:hAnsi="Palatino Linotype" w:cs="CIDFont+F3"/>
          <w:i/>
          <w:color w:val="282828"/>
          <w:szCs w:val="24"/>
        </w:rPr>
        <w:t xml:space="preserve"> sentencia</w:t>
      </w:r>
      <w:r w:rsidR="00F94AE0" w:rsidRPr="00EC29B3">
        <w:rPr>
          <w:rFonts w:ascii="Palatino Linotype" w:hAnsi="Palatino Linotype" w:cs="CIDFont+F3"/>
          <w:i/>
          <w:color w:val="282828"/>
          <w:szCs w:val="24"/>
        </w:rPr>
        <w:t xml:space="preserve">s respecto de Ceuta y Melilla. </w:t>
      </w:r>
      <w:r w:rsidRPr="00EC29B3">
        <w:rPr>
          <w:rFonts w:ascii="Palatino Linotype" w:hAnsi="Palatino Linotype" w:cs="CIDFont+F3"/>
          <w:i/>
          <w:color w:val="282828"/>
          <w:szCs w:val="24"/>
        </w:rPr>
        <w:t xml:space="preserve"> </w:t>
      </w:r>
      <w:r w:rsidR="00F94AE0" w:rsidRPr="00EC29B3">
        <w:rPr>
          <w:rFonts w:ascii="Palatino Linotype" w:hAnsi="Palatino Linotype" w:cs="CIDFont+F3"/>
          <w:i/>
          <w:color w:val="282828"/>
          <w:szCs w:val="24"/>
        </w:rPr>
        <w:t>En los procesos constitucionales, el Tribunal en el Auto 202/2000, de 25 de julio, inadmitió el recurso al apreciar la falta de legitimación de la Asamblea dado que la Ciudad de Ceuta no constituye una Comunidad Autónoma.</w:t>
      </w:r>
    </w:p>
    <w:p w:rsidR="00F94AE0" w:rsidRPr="00EC29B3" w:rsidRDefault="00F94AE0" w:rsidP="00A200C2">
      <w:pPr>
        <w:autoSpaceDE w:val="0"/>
        <w:autoSpaceDN w:val="0"/>
        <w:adjustRightInd w:val="0"/>
        <w:rPr>
          <w:rFonts w:ascii="Palatino Linotype" w:hAnsi="Palatino Linotype" w:cs="CIDFont+F3"/>
          <w:i/>
          <w:color w:val="282828"/>
          <w:szCs w:val="24"/>
        </w:rPr>
      </w:pPr>
      <w:r w:rsidRPr="00EC29B3">
        <w:rPr>
          <w:rFonts w:ascii="Palatino Linotype" w:hAnsi="Palatino Linotype" w:cs="CIDFont+F3"/>
          <w:i/>
          <w:color w:val="282828"/>
          <w:szCs w:val="24"/>
        </w:rPr>
        <w:t xml:space="preserve">      Mas tarde, el Tribunal dictó la Sentencia 240/2006, de 20 de julio, en la que el Tribunal reafirmaba su doctrina anterior recordando que la ciudad no es una Comunidad Autónoma </w:t>
      </w:r>
      <w:r w:rsidRPr="00EC29B3">
        <w:rPr>
          <w:rFonts w:ascii="Palatino Linotype" w:hAnsi="Palatino Linotype" w:cs="CIDFont+F3"/>
          <w:i/>
          <w:color w:val="282828"/>
          <w:szCs w:val="24"/>
          <w:u w:val="single"/>
        </w:rPr>
        <w:t>sino una entidad local</w:t>
      </w:r>
      <w:r w:rsidRPr="00EC29B3">
        <w:rPr>
          <w:rFonts w:ascii="Palatino Linotype" w:hAnsi="Palatino Linotype" w:cs="CIDFont+F3"/>
          <w:i/>
          <w:color w:val="282828"/>
          <w:szCs w:val="24"/>
        </w:rPr>
        <w:t xml:space="preserve">, </w:t>
      </w:r>
      <w:r w:rsidRPr="00EC29B3">
        <w:rPr>
          <w:rFonts w:ascii="Palatino Linotype" w:hAnsi="Palatino Linotype" w:cs="CIDFont+F3"/>
          <w:i/>
          <w:color w:val="282828"/>
          <w:szCs w:val="24"/>
          <w:u w:val="single"/>
        </w:rPr>
        <w:t>si bien su autonomía es distinta de la de los municipios que se rigen por la legislación general</w:t>
      </w:r>
      <w:r w:rsidRPr="00EC29B3">
        <w:rPr>
          <w:rFonts w:ascii="Palatino Linotype" w:hAnsi="Palatino Linotype" w:cs="CIDFont+F3"/>
          <w:i/>
          <w:color w:val="282828"/>
          <w:szCs w:val="24"/>
        </w:rPr>
        <w:t>. En consecuencia, reconoce que la ciudad está legitimada para plantear conflicto en defensa de la autonomía local, al tratarse de un régimen especial de autonomía local, basado en el procedimiento previsto en el artículo 144 b) de la Constitución, extremo igualmente aplicable a Melilla. En cuanto al fondo del asunto -las controvertidas competencias en materia de urbanismo- el Tribunal desestima el conflicto señalando que el legislador estatal ha respetado la autonomía local constitucionalmente garantizada.</w:t>
      </w:r>
    </w:p>
    <w:p w:rsidR="002C59B1" w:rsidRPr="00EC29B3" w:rsidRDefault="00F94AE0" w:rsidP="00A200C2">
      <w:pPr>
        <w:autoSpaceDE w:val="0"/>
        <w:autoSpaceDN w:val="0"/>
        <w:adjustRightInd w:val="0"/>
        <w:rPr>
          <w:rFonts w:ascii="Palatino Linotype" w:hAnsi="Palatino Linotype" w:cs="CIDFont+F3"/>
          <w:color w:val="282828"/>
          <w:szCs w:val="24"/>
          <w:u w:val="single"/>
        </w:rPr>
      </w:pPr>
      <w:r w:rsidRPr="00EC29B3">
        <w:rPr>
          <w:rFonts w:ascii="Palatino Linotype" w:hAnsi="Palatino Linotype" w:cs="CIDFont+F3"/>
          <w:i/>
          <w:color w:val="282828"/>
          <w:szCs w:val="24"/>
        </w:rPr>
        <w:t xml:space="preserve">      En otro orden de cosas, también tiene interés el Auto del Tribunal Constitucional 104/1997, de 8 de abril, que inadmite una cuestión de inconstitucionalidad planteada por el Juzgado de lo Penal número 2 de Ceuta en relación con los artículos 2.5 y 3.3 de la Ley 38/1988, de 28 de diciembre, de Demarcación y Planta Judicial. Dispone el primero de los preceptos cuestionados que, a efectos de la demarcación judicial, las ciudades de Ceuta y Melilla quedan integradas en la circunscripción territorial del Tribunal Superior de Justicia de Andalucía. Por su parte, el artículo 3.3 establece que a efectos de la demarcación judicial, las ciudades de Ceuta y Melilla quedan integradas en la circunscripción territorial de las Audiencias Provinciales de Cádiz y Málaga, respectivamente. </w:t>
      </w:r>
      <w:r w:rsidRPr="00EC29B3">
        <w:rPr>
          <w:rFonts w:ascii="Palatino Linotype" w:hAnsi="Palatino Linotype" w:cs="CIDFont+F3"/>
          <w:i/>
          <w:color w:val="282828"/>
          <w:szCs w:val="24"/>
          <w:u w:val="single"/>
        </w:rPr>
        <w:t>En el Auto se pone de manifiesto, bien que incidentalmente, la diferencia entre las Comunidades Autónomas y las Ciudades Autónomas de Ceuta y Melilla desde el punto de vista de la organización judicial</w:t>
      </w:r>
      <w:r w:rsidRPr="00EC29B3">
        <w:rPr>
          <w:rFonts w:ascii="Palatino Linotype" w:hAnsi="Palatino Linotype" w:cs="CIDFont+F3"/>
          <w:color w:val="282828"/>
          <w:szCs w:val="24"/>
          <w:u w:val="single"/>
        </w:rPr>
        <w:t>.</w:t>
      </w:r>
    </w:p>
    <w:p w:rsidR="008F71A2" w:rsidRPr="00EC29B3" w:rsidRDefault="008F71A2" w:rsidP="00A200C2">
      <w:pPr>
        <w:autoSpaceDE w:val="0"/>
        <w:autoSpaceDN w:val="0"/>
        <w:adjustRightInd w:val="0"/>
        <w:rPr>
          <w:rFonts w:ascii="Palatino Linotype" w:hAnsi="Palatino Linotype" w:cs="CIDFont+F3"/>
          <w:color w:val="282828"/>
          <w:szCs w:val="24"/>
          <w:u w:val="single"/>
        </w:rPr>
      </w:pPr>
    </w:p>
    <w:p w:rsidR="002E4324" w:rsidRDefault="008F71A2" w:rsidP="00A200C2">
      <w:pPr>
        <w:autoSpaceDE w:val="0"/>
        <w:autoSpaceDN w:val="0"/>
        <w:adjustRightInd w:val="0"/>
        <w:rPr>
          <w:rFonts w:ascii="Palatino Linotype" w:hAnsi="Palatino Linotype" w:cs="CIDFont+F3"/>
          <w:i/>
          <w:color w:val="282828"/>
          <w:szCs w:val="24"/>
        </w:rPr>
      </w:pPr>
      <w:r w:rsidRPr="002E4324">
        <w:rPr>
          <w:rFonts w:ascii="Palatino Linotype" w:hAnsi="Palatino Linotype" w:cs="CIDFont+F3"/>
          <w:i/>
          <w:color w:val="282828"/>
          <w:szCs w:val="24"/>
        </w:rPr>
        <w:t xml:space="preserve">Cierto es que la </w:t>
      </w:r>
      <w:r w:rsidR="00CC4335" w:rsidRPr="002E4324">
        <w:rPr>
          <w:rFonts w:ascii="Palatino Linotype" w:hAnsi="Palatino Linotype" w:cs="CIDFont+F3"/>
          <w:i/>
          <w:color w:val="282828"/>
          <w:szCs w:val="24"/>
        </w:rPr>
        <w:t>circunscripción</w:t>
      </w:r>
      <w:r w:rsidRPr="002E4324">
        <w:rPr>
          <w:rFonts w:ascii="Palatino Linotype" w:hAnsi="Palatino Linotype" w:cs="CIDFont+F3"/>
          <w:i/>
          <w:color w:val="282828"/>
          <w:szCs w:val="24"/>
        </w:rPr>
        <w:t xml:space="preserve"> electoral se </w:t>
      </w:r>
      <w:r w:rsidR="00CC4335" w:rsidRPr="002E4324">
        <w:rPr>
          <w:rFonts w:ascii="Palatino Linotype" w:hAnsi="Palatino Linotype" w:cs="CIDFont+F3"/>
          <w:i/>
          <w:color w:val="282828"/>
          <w:szCs w:val="24"/>
        </w:rPr>
        <w:t>vería</w:t>
      </w:r>
      <w:r w:rsidRPr="002E4324">
        <w:rPr>
          <w:rFonts w:ascii="Palatino Linotype" w:hAnsi="Palatino Linotype" w:cs="CIDFont+F3"/>
          <w:i/>
          <w:color w:val="282828"/>
          <w:szCs w:val="24"/>
        </w:rPr>
        <w:t xml:space="preserve"> afectada, si se diera a La </w:t>
      </w:r>
      <w:r w:rsidR="00CC4335" w:rsidRPr="002E4324">
        <w:rPr>
          <w:rFonts w:ascii="Palatino Linotype" w:hAnsi="Palatino Linotype" w:cs="CIDFont+F3"/>
          <w:i/>
          <w:color w:val="282828"/>
          <w:szCs w:val="24"/>
        </w:rPr>
        <w:t>Línea</w:t>
      </w:r>
      <w:r w:rsidRPr="002E4324">
        <w:rPr>
          <w:rFonts w:ascii="Palatino Linotype" w:hAnsi="Palatino Linotype" w:cs="CIDFont+F3"/>
          <w:i/>
          <w:color w:val="282828"/>
          <w:szCs w:val="24"/>
        </w:rPr>
        <w:t xml:space="preserve"> la misma representación en las Cortes Generales que tienen Ceuta o Melilla, sin embargo, hay que tener en cuenta que </w:t>
      </w:r>
      <w:r w:rsidR="00E12A36" w:rsidRPr="002E4324">
        <w:rPr>
          <w:rFonts w:ascii="Palatino Linotype" w:hAnsi="Palatino Linotype" w:cs="CIDFont+F3"/>
          <w:i/>
          <w:color w:val="282828"/>
          <w:szCs w:val="24"/>
        </w:rPr>
        <w:t>la constitución no establece un número cerrado de diputados, al contrario, prevé una horquilla entre 300 y 400, es decir, que si actualmente hay 350, todavía queda margen para, al menos, uno más.</w:t>
      </w:r>
    </w:p>
    <w:p w:rsidR="008F71A2" w:rsidRPr="002E4324" w:rsidRDefault="00E12A36" w:rsidP="00A200C2">
      <w:pPr>
        <w:autoSpaceDE w:val="0"/>
        <w:autoSpaceDN w:val="0"/>
        <w:adjustRightInd w:val="0"/>
        <w:rPr>
          <w:rFonts w:ascii="Palatino Linotype" w:hAnsi="Palatino Linotype" w:cs="CIDFont+F3"/>
          <w:i/>
          <w:color w:val="282828"/>
          <w:szCs w:val="24"/>
        </w:rPr>
      </w:pPr>
      <w:r w:rsidRPr="002E4324">
        <w:rPr>
          <w:rFonts w:ascii="Palatino Linotype" w:hAnsi="Palatino Linotype" w:cs="CIDFont+F3"/>
          <w:i/>
          <w:color w:val="282828"/>
          <w:szCs w:val="24"/>
        </w:rPr>
        <w:t>Textualmente el art. 68, dice: 1. El Congreso se compone de un mínimo de 300 y un máximo de 400 Diputados, elegidos por sufragio universal, libre, igual, directo y secreto, en los términos que establezca la ley.</w:t>
      </w:r>
    </w:p>
    <w:p w:rsidR="00E12A36" w:rsidRPr="002E4324" w:rsidRDefault="00E12A36" w:rsidP="00A200C2">
      <w:pPr>
        <w:autoSpaceDE w:val="0"/>
        <w:autoSpaceDN w:val="0"/>
        <w:adjustRightInd w:val="0"/>
        <w:rPr>
          <w:rFonts w:ascii="Palatino Linotype" w:hAnsi="Palatino Linotype" w:cs="CIDFont+F3"/>
          <w:i/>
          <w:color w:val="282828"/>
          <w:szCs w:val="24"/>
        </w:rPr>
      </w:pPr>
      <w:r w:rsidRPr="002E4324">
        <w:rPr>
          <w:rFonts w:ascii="Palatino Linotype" w:hAnsi="Palatino Linotype" w:cs="CIDFont+F3"/>
          <w:i/>
          <w:color w:val="282828"/>
          <w:szCs w:val="24"/>
        </w:rPr>
        <w:t>Ley Orgánica 5/1985, de 19 de Junio, del régimen electoral general, define el</w:t>
      </w:r>
      <w:r w:rsidRPr="002E4324">
        <w:rPr>
          <w:rFonts w:ascii="Palatino Linotype" w:hAnsi="Palatino Linotype"/>
        </w:rPr>
        <w:t xml:space="preserve"> </w:t>
      </w:r>
      <w:r w:rsidRPr="002E4324">
        <w:rPr>
          <w:rFonts w:ascii="Palatino Linotype" w:hAnsi="Palatino Linotype" w:cs="CIDFont+F3"/>
          <w:i/>
          <w:color w:val="282828"/>
          <w:szCs w:val="24"/>
        </w:rPr>
        <w:t xml:space="preserve">Sistema electoral en el Artículo 161 1: Para la elección de Diputados y Senadores, cada provincia </w:t>
      </w:r>
      <w:r w:rsidRPr="002E4324">
        <w:rPr>
          <w:rFonts w:ascii="Palatino Linotype" w:hAnsi="Palatino Linotype" w:cs="CIDFont+F3"/>
          <w:i/>
          <w:color w:val="282828"/>
          <w:szCs w:val="24"/>
        </w:rPr>
        <w:lastRenderedPageBreak/>
        <w:t>constituirá una circunscripción electoral. Asimismo, las ciudades de Ceuta y Melilla serán consideradas, cada una de ellas, como circunscripciones electorales.</w:t>
      </w:r>
    </w:p>
    <w:p w:rsidR="00E12A36" w:rsidRPr="00EB3482" w:rsidRDefault="00E12A36" w:rsidP="00A200C2">
      <w:pPr>
        <w:autoSpaceDE w:val="0"/>
        <w:autoSpaceDN w:val="0"/>
        <w:adjustRightInd w:val="0"/>
        <w:rPr>
          <w:rFonts w:ascii="Palatino Linotype" w:hAnsi="Palatino Linotype" w:cs="CIDFont+F3"/>
          <w:i/>
          <w:color w:val="282828"/>
          <w:szCs w:val="24"/>
          <w:u w:val="single"/>
        </w:rPr>
      </w:pPr>
      <w:r w:rsidRPr="00EB3482">
        <w:rPr>
          <w:rFonts w:ascii="Palatino Linotype" w:hAnsi="Palatino Linotype" w:cs="CIDFont+F3"/>
          <w:i/>
          <w:color w:val="282828"/>
          <w:szCs w:val="24"/>
          <w:u w:val="single"/>
        </w:rPr>
        <w:t>Al amparo de este artículo</w:t>
      </w:r>
      <w:r w:rsidR="002E4324" w:rsidRPr="00EB3482">
        <w:rPr>
          <w:rFonts w:ascii="Palatino Linotype" w:hAnsi="Palatino Linotype" w:cs="CIDFont+F3"/>
          <w:i/>
          <w:color w:val="282828"/>
          <w:szCs w:val="24"/>
          <w:u w:val="single"/>
        </w:rPr>
        <w:t>,</w:t>
      </w:r>
      <w:r w:rsidRPr="00EB3482">
        <w:rPr>
          <w:rFonts w:ascii="Palatino Linotype" w:hAnsi="Palatino Linotype" w:cs="CIDFont+F3"/>
          <w:i/>
          <w:color w:val="282828"/>
          <w:szCs w:val="24"/>
          <w:u w:val="single"/>
        </w:rPr>
        <w:t xml:space="preserve"> añadiendo  “La Línea de la Concepción” a las ciudades de Ceuta y Melilla se solventaría la cuestión de la representación en las Cortes Generales como circunscripción electoral, no como provincia.</w:t>
      </w:r>
    </w:p>
    <w:p w:rsidR="002E4324" w:rsidRPr="002E4324" w:rsidRDefault="002E4324" w:rsidP="002E4324">
      <w:pPr>
        <w:autoSpaceDE w:val="0"/>
        <w:autoSpaceDN w:val="0"/>
        <w:adjustRightInd w:val="0"/>
        <w:rPr>
          <w:rFonts w:ascii="Palatino Linotype" w:hAnsi="Palatino Linotype" w:cs="CIDFont+F3"/>
          <w:i/>
          <w:color w:val="282828"/>
          <w:szCs w:val="24"/>
        </w:rPr>
      </w:pPr>
      <w:r w:rsidRPr="002E4324">
        <w:rPr>
          <w:rFonts w:ascii="Palatino Linotype" w:hAnsi="Palatino Linotype" w:cs="CIDFont+F3"/>
          <w:i/>
          <w:color w:val="282828"/>
          <w:szCs w:val="24"/>
        </w:rPr>
        <w:t>En cualquier caso, Cádiz tiene actualmente 9 diputados, con una población aproximada de 1238714 habitantes (a 1/1/2018). Dos diputados lo son por el hecho de ser provincia, y el resto según reparto proporcional con el número de habitantes de toda España (47.722.980), sale a 6.57; si restásemos la población de La Línea (62.940), resultaría un cociente de 6,24, es decir, que perdería un diputado, que bien podría asignarse a La Línea, con iguales criterios que Ceuta (85144) y Melilla (86384) que tienen un diputado cada una y dos senadores. Modificación que no requiere cambio constitucional, sí de la Ley Orgánica, (unas más de las que habría que cambiar para acceder a la autonomía) 5/1985, de 19 de junio, del Régimen Electoral General (Publicado en BOE de 20 de Junio de 1985. Vigencia desde 21 de Junio de 1985. Revisión vigente desde 07 de Diciembre de 2018)</w:t>
      </w:r>
    </w:p>
    <w:p w:rsidR="002E4324" w:rsidRPr="002E4324" w:rsidRDefault="002E4324" w:rsidP="002E4324">
      <w:pPr>
        <w:autoSpaceDE w:val="0"/>
        <w:autoSpaceDN w:val="0"/>
        <w:adjustRightInd w:val="0"/>
        <w:rPr>
          <w:rFonts w:ascii="Palatino Linotype" w:hAnsi="Palatino Linotype" w:cs="CIDFont+F3"/>
          <w:i/>
          <w:color w:val="282828"/>
          <w:szCs w:val="24"/>
        </w:rPr>
      </w:pPr>
      <w:r w:rsidRPr="002E4324">
        <w:rPr>
          <w:rFonts w:ascii="Palatino Linotype" w:hAnsi="Palatino Linotype" w:cs="CIDFont+F3"/>
          <w:i/>
          <w:color w:val="282828"/>
          <w:szCs w:val="24"/>
        </w:rPr>
        <w:t xml:space="preserve">Visto que el número de senadores varia, (solo hay que ver que las islas pequeñas tienen un senador, aun con menos población que La Línea, por lo que la opción un senador para La Línea, no es nada descabellada y no alteraría sustancialmente el equilibrio territorial que persigue el senado), y que, según el art.69.1 de la Constitución, por el hecho de ser autonomía, se designa un Senador, la representación en </w:t>
      </w:r>
      <w:r>
        <w:rPr>
          <w:rFonts w:ascii="Palatino Linotype" w:hAnsi="Palatino Linotype" w:cs="CIDFont+F3"/>
          <w:i/>
          <w:color w:val="282828"/>
          <w:szCs w:val="24"/>
        </w:rPr>
        <w:t xml:space="preserve">el </w:t>
      </w:r>
      <w:r w:rsidRPr="002E4324">
        <w:rPr>
          <w:rFonts w:ascii="Palatino Linotype" w:hAnsi="Palatino Linotype" w:cs="CIDFont+F3"/>
          <w:i/>
          <w:color w:val="282828"/>
          <w:szCs w:val="24"/>
        </w:rPr>
        <w:t>Senado quedaría garantizada sin necesidad de modificación legal alguna.</w:t>
      </w:r>
    </w:p>
    <w:p w:rsidR="008F71A2" w:rsidRPr="00A200C2" w:rsidRDefault="008F71A2" w:rsidP="00A200C2">
      <w:pPr>
        <w:autoSpaceDE w:val="0"/>
        <w:autoSpaceDN w:val="0"/>
        <w:adjustRightInd w:val="0"/>
        <w:rPr>
          <w:rFonts w:ascii="CIDFont+F3" w:hAnsi="CIDFont+F3" w:cs="CIDFont+F3"/>
          <w:color w:val="282828"/>
          <w:szCs w:val="24"/>
        </w:rPr>
      </w:pPr>
    </w:p>
    <w:p w:rsidR="00AA369C" w:rsidRPr="00EC29B3" w:rsidRDefault="00AA369C" w:rsidP="00A200C2">
      <w:pPr>
        <w:autoSpaceDE w:val="0"/>
        <w:autoSpaceDN w:val="0"/>
        <w:adjustRightInd w:val="0"/>
        <w:rPr>
          <w:rFonts w:cs="Arial"/>
          <w:color w:val="282828"/>
          <w:szCs w:val="24"/>
        </w:rPr>
      </w:pPr>
      <w:r w:rsidRPr="00EC29B3">
        <w:rPr>
          <w:rFonts w:cs="Arial"/>
          <w:color w:val="282828"/>
          <w:szCs w:val="24"/>
        </w:rPr>
        <w:t>SEGUNDO.-LA PRETENSIÓN QUE SE POSTULA ES CONTRARIA A LA CE.</w:t>
      </w:r>
    </w:p>
    <w:p w:rsidR="00AA369C" w:rsidRPr="00EC29B3" w:rsidRDefault="00AA369C" w:rsidP="00A200C2">
      <w:pPr>
        <w:autoSpaceDE w:val="0"/>
        <w:autoSpaceDN w:val="0"/>
        <w:adjustRightInd w:val="0"/>
        <w:rPr>
          <w:rFonts w:cs="Arial"/>
          <w:color w:val="282828"/>
          <w:szCs w:val="24"/>
        </w:rPr>
      </w:pPr>
    </w:p>
    <w:p w:rsidR="00AA369C" w:rsidRPr="00EC29B3" w:rsidRDefault="00AA369C" w:rsidP="00A200C2">
      <w:pPr>
        <w:autoSpaceDE w:val="0"/>
        <w:autoSpaceDN w:val="0"/>
        <w:adjustRightInd w:val="0"/>
        <w:rPr>
          <w:rFonts w:cs="Arial"/>
          <w:color w:val="282828"/>
          <w:szCs w:val="24"/>
        </w:rPr>
      </w:pPr>
      <w:r w:rsidRPr="00EC29B3">
        <w:rPr>
          <w:rFonts w:cs="Arial"/>
          <w:color w:val="282828"/>
          <w:szCs w:val="24"/>
        </w:rPr>
        <w:t>En palabras del Prof. Gregorio Peces Barba: “Las diversas vías que establece la Constitución</w:t>
      </w:r>
      <w:r w:rsidR="00A4150D" w:rsidRPr="00EC29B3">
        <w:rPr>
          <w:rFonts w:cs="Arial"/>
          <w:color w:val="282828"/>
          <w:szCs w:val="24"/>
        </w:rPr>
        <w:t xml:space="preserve"> </w:t>
      </w:r>
      <w:r w:rsidRPr="00EC29B3">
        <w:rPr>
          <w:rFonts w:cs="Arial"/>
          <w:color w:val="282828"/>
          <w:szCs w:val="24"/>
        </w:rPr>
        <w:t>para acceder a la autonomía permiten llegar a una meta de igualdad entre todas las comunidades</w:t>
      </w:r>
      <w:r w:rsidR="00A4150D" w:rsidRPr="00EC29B3">
        <w:rPr>
          <w:rFonts w:cs="Arial"/>
          <w:color w:val="282828"/>
          <w:szCs w:val="24"/>
        </w:rPr>
        <w:t xml:space="preserve"> </w:t>
      </w:r>
      <w:r w:rsidRPr="00EC29B3">
        <w:rPr>
          <w:rFonts w:cs="Arial"/>
          <w:color w:val="282828"/>
          <w:szCs w:val="24"/>
        </w:rPr>
        <w:t>autónomas al final del proceso, una vez terminada la dinámica de transferencia de competencias</w:t>
      </w:r>
      <w:r w:rsidR="00A4150D" w:rsidRPr="00EC29B3">
        <w:rPr>
          <w:rFonts w:cs="Arial"/>
          <w:color w:val="282828"/>
          <w:szCs w:val="24"/>
        </w:rPr>
        <w:t xml:space="preserve"> </w:t>
      </w:r>
      <w:r w:rsidRPr="00EC29B3">
        <w:rPr>
          <w:rFonts w:cs="Arial"/>
          <w:color w:val="282828"/>
          <w:szCs w:val="24"/>
        </w:rPr>
        <w:t>y de funciones desde los poderes del Estado…”</w:t>
      </w:r>
    </w:p>
    <w:p w:rsidR="00F94AE0" w:rsidRPr="00A200C2" w:rsidRDefault="00F94AE0" w:rsidP="00A200C2">
      <w:pPr>
        <w:autoSpaceDE w:val="0"/>
        <w:autoSpaceDN w:val="0"/>
        <w:adjustRightInd w:val="0"/>
        <w:rPr>
          <w:rFonts w:ascii="CIDFont+F3" w:hAnsi="CIDFont+F3" w:cs="CIDFont+F3"/>
          <w:color w:val="282828"/>
          <w:szCs w:val="24"/>
        </w:rPr>
      </w:pPr>
    </w:p>
    <w:p w:rsidR="00F94AE0" w:rsidRPr="00992088" w:rsidRDefault="00F94AE0"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Llama la atención la cita a uno de los padres de la constitución, especialmente en estos días en los que el pasado 03 AGO 2021, el Gobierno de España y la Generalitat de Cataluña han consensuado un calendario de seis meses para acordar el traspaso de </w:t>
      </w:r>
      <w:r w:rsidR="00EB5D5D" w:rsidRPr="00992088">
        <w:rPr>
          <w:rFonts w:ascii="Palatino Linotype" w:hAnsi="Palatino Linotype" w:cs="CIDFont+F3"/>
          <w:i/>
          <w:color w:val="282828"/>
          <w:szCs w:val="24"/>
        </w:rPr>
        <w:t xml:space="preserve">cincuenta y seis </w:t>
      </w:r>
      <w:r w:rsidRPr="00992088">
        <w:rPr>
          <w:rFonts w:ascii="Palatino Linotype" w:hAnsi="Palatino Linotype" w:cs="CIDFont+F3"/>
          <w:i/>
          <w:color w:val="282828"/>
          <w:szCs w:val="24"/>
        </w:rPr>
        <w:t>nuevas competencias</w:t>
      </w:r>
      <w:r w:rsidR="00EB5D5D" w:rsidRPr="00992088">
        <w:rPr>
          <w:rFonts w:ascii="Palatino Linotype" w:hAnsi="Palatino Linotype"/>
          <w:i/>
          <w:szCs w:val="24"/>
        </w:rPr>
        <w:t xml:space="preserve"> </w:t>
      </w:r>
      <w:r w:rsidR="00EB5D5D" w:rsidRPr="00992088">
        <w:rPr>
          <w:rFonts w:ascii="Palatino Linotype" w:hAnsi="Palatino Linotype" w:cs="CIDFont+F3"/>
          <w:i/>
          <w:color w:val="282828"/>
          <w:szCs w:val="24"/>
        </w:rPr>
        <w:t>pendientes de ser cedidas por parte del Gobierno, según compromisos previos y según el estatuto de autonomía</w:t>
      </w:r>
      <w:proofErr w:type="gramStart"/>
      <w:r w:rsidR="00EB5D5D" w:rsidRPr="00992088">
        <w:rPr>
          <w:rFonts w:ascii="Palatino Linotype" w:hAnsi="Palatino Linotype" w:cs="CIDFont+F3"/>
          <w:i/>
          <w:color w:val="282828"/>
          <w:szCs w:val="24"/>
        </w:rPr>
        <w:t>.</w:t>
      </w:r>
      <w:r w:rsidRPr="00992088">
        <w:rPr>
          <w:rFonts w:ascii="Palatino Linotype" w:hAnsi="Palatino Linotype" w:cs="CIDFont+F3"/>
          <w:i/>
          <w:color w:val="282828"/>
          <w:szCs w:val="24"/>
        </w:rPr>
        <w:t>.</w:t>
      </w:r>
      <w:proofErr w:type="gramEnd"/>
      <w:r w:rsidRPr="00992088">
        <w:rPr>
          <w:rFonts w:ascii="Palatino Linotype" w:hAnsi="Palatino Linotype" w:cs="CIDFont+F3"/>
          <w:i/>
          <w:color w:val="282828"/>
          <w:szCs w:val="24"/>
        </w:rPr>
        <w:t xml:space="preserve"> </w:t>
      </w:r>
    </w:p>
    <w:p w:rsidR="00EB5D5D" w:rsidRPr="00A200C2" w:rsidRDefault="00EB5D5D" w:rsidP="00A200C2">
      <w:pPr>
        <w:autoSpaceDE w:val="0"/>
        <w:autoSpaceDN w:val="0"/>
        <w:adjustRightInd w:val="0"/>
        <w:rPr>
          <w:rFonts w:ascii="CIDFont+F3" w:hAnsi="CIDFont+F3" w:cs="CIDFont+F3"/>
          <w:color w:val="282828"/>
          <w:szCs w:val="24"/>
        </w:rPr>
      </w:pP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En definitiva, la iniciativa de proceso autonómico se configura con un amplio espectro</w:t>
      </w:r>
      <w:r w:rsidR="00A4150D" w:rsidRPr="00992088">
        <w:rPr>
          <w:rFonts w:cs="Arial"/>
          <w:color w:val="282828"/>
          <w:szCs w:val="24"/>
        </w:rPr>
        <w:t xml:space="preserve"> </w:t>
      </w:r>
      <w:r w:rsidRPr="00992088">
        <w:rPr>
          <w:rFonts w:cs="Arial"/>
          <w:color w:val="282828"/>
          <w:szCs w:val="24"/>
        </w:rPr>
        <w:t>dando acogida con él al también amplio marco</w:t>
      </w:r>
      <w:r w:rsidR="00A4150D" w:rsidRPr="00992088">
        <w:rPr>
          <w:rFonts w:cs="Arial"/>
          <w:color w:val="282828"/>
          <w:szCs w:val="24"/>
        </w:rPr>
        <w:t xml:space="preserve"> territorial que, al momento de pr</w:t>
      </w:r>
      <w:r w:rsidRPr="00992088">
        <w:rPr>
          <w:rFonts w:cs="Arial"/>
          <w:color w:val="282828"/>
          <w:szCs w:val="24"/>
        </w:rPr>
        <w:t>omulgarse la</w:t>
      </w:r>
      <w:r w:rsidR="00A4150D" w:rsidRPr="00992088">
        <w:rPr>
          <w:rFonts w:cs="Arial"/>
          <w:color w:val="282828"/>
          <w:szCs w:val="24"/>
        </w:rPr>
        <w:t xml:space="preserve"> </w:t>
      </w:r>
      <w:r w:rsidRPr="00992088">
        <w:rPr>
          <w:rFonts w:cs="Arial"/>
          <w:color w:val="282828"/>
          <w:szCs w:val="24"/>
        </w:rPr>
        <w:t>Constitución Española, se enmarcaba en España. De esta suerte, existían tres grupos bien definidos:</w:t>
      </w: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 Las provincias limítrofes con características históricas, culturales y económicas</w:t>
      </w:r>
      <w:r w:rsidR="00A4150D" w:rsidRPr="00992088">
        <w:rPr>
          <w:rFonts w:cs="Arial"/>
          <w:color w:val="282828"/>
          <w:szCs w:val="24"/>
        </w:rPr>
        <w:t xml:space="preserve"> </w:t>
      </w:r>
      <w:r w:rsidRPr="00992088">
        <w:rPr>
          <w:rFonts w:cs="Arial"/>
          <w:color w:val="282828"/>
          <w:szCs w:val="24"/>
        </w:rPr>
        <w:t xml:space="preserve">comunes (regiones </w:t>
      </w:r>
      <w:proofErr w:type="spellStart"/>
      <w:r w:rsidRPr="00992088">
        <w:rPr>
          <w:rFonts w:cs="Arial"/>
          <w:color w:val="282828"/>
          <w:szCs w:val="24"/>
        </w:rPr>
        <w:t>pluriprovinciales</w:t>
      </w:r>
      <w:proofErr w:type="spellEnd"/>
      <w:r w:rsidRPr="00992088">
        <w:rPr>
          <w:rFonts w:cs="Arial"/>
          <w:color w:val="282828"/>
          <w:szCs w:val="24"/>
        </w:rPr>
        <w:t>).</w:t>
      </w: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 Los territorios insulares (Baleares y Canarias).</w:t>
      </w:r>
    </w:p>
    <w:p w:rsidR="00AA369C" w:rsidRPr="00A200C2" w:rsidRDefault="00AA369C" w:rsidP="00A200C2">
      <w:pPr>
        <w:autoSpaceDE w:val="0"/>
        <w:autoSpaceDN w:val="0"/>
        <w:adjustRightInd w:val="0"/>
        <w:rPr>
          <w:rFonts w:ascii="CIDFont+F3" w:hAnsi="CIDFont+F3" w:cs="CIDFont+F3"/>
          <w:color w:val="282828"/>
          <w:szCs w:val="24"/>
        </w:rPr>
      </w:pPr>
      <w:r w:rsidRPr="00992088">
        <w:rPr>
          <w:rFonts w:cs="Arial"/>
          <w:color w:val="282828"/>
          <w:szCs w:val="24"/>
        </w:rPr>
        <w:t xml:space="preserve">- Las provincias con entidad regional históricas (regiones </w:t>
      </w:r>
      <w:proofErr w:type="spellStart"/>
      <w:r w:rsidRPr="00992088">
        <w:rPr>
          <w:rFonts w:cs="Arial"/>
          <w:color w:val="282828"/>
          <w:szCs w:val="24"/>
        </w:rPr>
        <w:t>uniprovinciales</w:t>
      </w:r>
      <w:proofErr w:type="spellEnd"/>
      <w:r w:rsidRPr="00992088">
        <w:rPr>
          <w:rFonts w:cs="Arial"/>
          <w:color w:val="282828"/>
          <w:szCs w:val="24"/>
        </w:rPr>
        <w:t>).</w:t>
      </w:r>
    </w:p>
    <w:p w:rsidR="00EB5D5D" w:rsidRPr="00A200C2" w:rsidRDefault="00EB5D5D" w:rsidP="00A200C2">
      <w:pPr>
        <w:autoSpaceDE w:val="0"/>
        <w:autoSpaceDN w:val="0"/>
        <w:adjustRightInd w:val="0"/>
        <w:rPr>
          <w:rFonts w:ascii="CIDFont+F3" w:hAnsi="CIDFont+F3" w:cs="CIDFont+F3"/>
          <w:color w:val="282828"/>
          <w:szCs w:val="24"/>
        </w:rPr>
      </w:pPr>
    </w:p>
    <w:p w:rsidR="00EB5D5D" w:rsidRPr="00992088" w:rsidRDefault="00EB5D5D"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lastRenderedPageBreak/>
        <w:t xml:space="preserve">¿Dónde quedan en esta configuración que la </w:t>
      </w:r>
      <w:proofErr w:type="spellStart"/>
      <w:r w:rsidRPr="00992088">
        <w:rPr>
          <w:rFonts w:ascii="Palatino Linotype" w:hAnsi="Palatino Linotype" w:cs="CIDFont+F3"/>
          <w:i/>
          <w:color w:val="282828"/>
          <w:szCs w:val="24"/>
        </w:rPr>
        <w:t>alegante</w:t>
      </w:r>
      <w:proofErr w:type="spellEnd"/>
      <w:r w:rsidRPr="00992088">
        <w:rPr>
          <w:rFonts w:ascii="Palatino Linotype" w:hAnsi="Palatino Linotype" w:cs="CIDFont+F3"/>
          <w:i/>
          <w:color w:val="282828"/>
          <w:szCs w:val="24"/>
        </w:rPr>
        <w:t xml:space="preserve"> realiza del proceso autonómico, Ceuta y Melilla?</w:t>
      </w:r>
    </w:p>
    <w:p w:rsidR="00547410" w:rsidRPr="00992088" w:rsidRDefault="00547410"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Como decimos más adelante: La Constitución española de 1978 declara intangible el territorio nacional, pero no establece cuál es el territorio cuya integridad se proclama.</w:t>
      </w:r>
    </w:p>
    <w:p w:rsidR="00EB5D5D" w:rsidRPr="00A200C2" w:rsidRDefault="00EB5D5D" w:rsidP="00A200C2">
      <w:pPr>
        <w:autoSpaceDE w:val="0"/>
        <w:autoSpaceDN w:val="0"/>
        <w:adjustRightInd w:val="0"/>
        <w:rPr>
          <w:rFonts w:ascii="CIDFont+F3" w:hAnsi="CIDFont+F3" w:cs="CIDFont+F3"/>
          <w:color w:val="282828"/>
          <w:szCs w:val="24"/>
        </w:rPr>
      </w:pP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De esta suerte, se establece un mapa normativo para el desarrollo de las autonomías</w:t>
      </w:r>
      <w:r w:rsidR="00A4150D" w:rsidRPr="00992088">
        <w:rPr>
          <w:rFonts w:cs="Arial"/>
          <w:color w:val="282828"/>
          <w:szCs w:val="24"/>
        </w:rPr>
        <w:t xml:space="preserve"> </w:t>
      </w:r>
      <w:r w:rsidRPr="00992088">
        <w:rPr>
          <w:rFonts w:cs="Arial"/>
          <w:color w:val="282828"/>
          <w:szCs w:val="24"/>
        </w:rPr>
        <w:t>amplio ya que, a esa fecha (diciembre de 1978), el mapa de lo que serían nuestras CCAA aún no</w:t>
      </w:r>
      <w:r w:rsidR="00A4150D" w:rsidRPr="00992088">
        <w:rPr>
          <w:rFonts w:cs="Arial"/>
          <w:color w:val="282828"/>
          <w:szCs w:val="24"/>
        </w:rPr>
        <w:t xml:space="preserve"> </w:t>
      </w:r>
      <w:r w:rsidRPr="00992088">
        <w:rPr>
          <w:rFonts w:cs="Arial"/>
          <w:color w:val="282828"/>
          <w:szCs w:val="24"/>
        </w:rPr>
        <w:t>era fijo.</w:t>
      </w:r>
    </w:p>
    <w:p w:rsidR="00547410" w:rsidRPr="00A200C2" w:rsidRDefault="00547410" w:rsidP="00A200C2">
      <w:pPr>
        <w:autoSpaceDE w:val="0"/>
        <w:autoSpaceDN w:val="0"/>
        <w:adjustRightInd w:val="0"/>
        <w:rPr>
          <w:rFonts w:ascii="CIDFont+F3" w:hAnsi="CIDFont+F3" w:cs="CIDFont+F3"/>
          <w:color w:val="282828"/>
          <w:szCs w:val="24"/>
        </w:rPr>
      </w:pPr>
    </w:p>
    <w:p w:rsidR="00547410" w:rsidRPr="00992088" w:rsidRDefault="00547410" w:rsidP="00A200C2">
      <w:pPr>
        <w:autoSpaceDE w:val="0"/>
        <w:autoSpaceDN w:val="0"/>
        <w:adjustRightInd w:val="0"/>
        <w:rPr>
          <w:rFonts w:ascii="Times New Roman" w:hAnsi="Times New Roman" w:cs="Times New Roman"/>
          <w:i/>
          <w:color w:val="282828"/>
          <w:szCs w:val="24"/>
        </w:rPr>
      </w:pPr>
      <w:r w:rsidRPr="00992088">
        <w:rPr>
          <w:rFonts w:ascii="Times New Roman" w:hAnsi="Times New Roman" w:cs="Times New Roman"/>
          <w:i/>
          <w:color w:val="282828"/>
          <w:szCs w:val="24"/>
        </w:rPr>
        <w:t xml:space="preserve">Los padres de la Constitución, en este tema, optaron por la ambigüedad. Según reconocen hoy varios de ellos, no hubo voluntad de tomar decisiones definitivas- acerca de Gibraltar, Ceuta y Melilla, pese a que "todo el mundo se daba cuenta de que estas cuestiones terminarían planteándose", </w:t>
      </w:r>
    </w:p>
    <w:p w:rsidR="00547410" w:rsidRPr="00992088" w:rsidRDefault="00547410" w:rsidP="00A200C2">
      <w:pPr>
        <w:autoSpaceDE w:val="0"/>
        <w:autoSpaceDN w:val="0"/>
        <w:adjustRightInd w:val="0"/>
        <w:rPr>
          <w:rFonts w:ascii="Times New Roman" w:hAnsi="Times New Roman" w:cs="Times New Roman"/>
          <w:i/>
          <w:color w:val="282828"/>
          <w:szCs w:val="24"/>
        </w:rPr>
      </w:pPr>
      <w:r w:rsidRPr="00992088">
        <w:rPr>
          <w:rFonts w:ascii="Times New Roman" w:hAnsi="Times New Roman" w:cs="Times New Roman"/>
          <w:i/>
          <w:color w:val="282828"/>
          <w:szCs w:val="24"/>
        </w:rPr>
        <w:t>Solo la Constitución española de 1812 ha determinado expresamente el territorio nacional.</w:t>
      </w:r>
    </w:p>
    <w:p w:rsidR="00547410" w:rsidRPr="00A200C2" w:rsidRDefault="00547410" w:rsidP="00A200C2">
      <w:pPr>
        <w:autoSpaceDE w:val="0"/>
        <w:autoSpaceDN w:val="0"/>
        <w:adjustRightInd w:val="0"/>
        <w:rPr>
          <w:rFonts w:ascii="CIDFont+F3" w:hAnsi="CIDFont+F3" w:cs="CIDFont+F3"/>
          <w:color w:val="282828"/>
          <w:szCs w:val="24"/>
        </w:rPr>
      </w:pP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En este sentido, la doctrina administrativa desarrollada en torno al proceso de las autonomías</w:t>
      </w:r>
      <w:r w:rsidR="00A4150D" w:rsidRPr="00992088">
        <w:rPr>
          <w:rFonts w:cs="Arial"/>
          <w:color w:val="282828"/>
          <w:szCs w:val="24"/>
        </w:rPr>
        <w:t xml:space="preserve"> </w:t>
      </w:r>
      <w:r w:rsidRPr="00992088">
        <w:rPr>
          <w:rFonts w:cs="Arial"/>
          <w:color w:val="282828"/>
          <w:szCs w:val="24"/>
        </w:rPr>
        <w:t>ha marcado como eje esencial del mismo el carácter de la voluntariedad. Si bien, dicho</w:t>
      </w:r>
      <w:r w:rsidR="00A4150D" w:rsidRPr="00992088">
        <w:rPr>
          <w:rFonts w:cs="Arial"/>
          <w:color w:val="282828"/>
          <w:szCs w:val="24"/>
        </w:rPr>
        <w:t xml:space="preserve"> </w:t>
      </w:r>
      <w:r w:rsidRPr="00992088">
        <w:rPr>
          <w:rFonts w:cs="Arial"/>
          <w:color w:val="282828"/>
          <w:szCs w:val="24"/>
        </w:rPr>
        <w:t>principio general no es incondicionado ni exclusivo. Así, la CE incorpora el artículo 144 que significa</w:t>
      </w:r>
      <w:r w:rsidR="00A4150D" w:rsidRPr="00992088">
        <w:rPr>
          <w:rFonts w:cs="Arial"/>
          <w:color w:val="282828"/>
          <w:szCs w:val="24"/>
        </w:rPr>
        <w:t xml:space="preserve"> </w:t>
      </w:r>
      <w:r w:rsidRPr="00992088">
        <w:rPr>
          <w:rFonts w:cs="Arial"/>
          <w:color w:val="282828"/>
          <w:szCs w:val="24"/>
        </w:rPr>
        <w:t>la intervención parlamentaria para completar el mapa autonómico en el supuesto que</w:t>
      </w:r>
      <w:r w:rsidR="00A4150D" w:rsidRPr="00992088">
        <w:rPr>
          <w:rFonts w:cs="Arial"/>
          <w:color w:val="282828"/>
          <w:szCs w:val="24"/>
        </w:rPr>
        <w:t xml:space="preserve"> </w:t>
      </w:r>
      <w:r w:rsidRPr="00992088">
        <w:rPr>
          <w:rFonts w:cs="Arial"/>
          <w:color w:val="282828"/>
          <w:szCs w:val="24"/>
        </w:rPr>
        <w:t>algún territorio se quedara fuera de las distintas Comunidades que se fueran constituyendo.</w:t>
      </w: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Esta intervención de las Cortes Generales podía incluso llegar a sustituir la iniciativa de las Corporaciones</w:t>
      </w:r>
      <w:r w:rsidR="00A4150D" w:rsidRPr="00992088">
        <w:rPr>
          <w:rFonts w:cs="Arial"/>
          <w:color w:val="282828"/>
          <w:szCs w:val="24"/>
        </w:rPr>
        <w:t xml:space="preserve"> </w:t>
      </w:r>
      <w:r w:rsidRPr="00992088">
        <w:rPr>
          <w:rFonts w:cs="Arial"/>
          <w:color w:val="282828"/>
          <w:szCs w:val="24"/>
        </w:rPr>
        <w:t>Locales a las que refiere el artículo 143.2 CE.</w:t>
      </w:r>
    </w:p>
    <w:p w:rsidR="00AA369C" w:rsidRPr="00A200C2" w:rsidRDefault="00AA369C" w:rsidP="00A200C2">
      <w:pPr>
        <w:autoSpaceDE w:val="0"/>
        <w:autoSpaceDN w:val="0"/>
        <w:adjustRightInd w:val="0"/>
        <w:rPr>
          <w:rFonts w:ascii="CIDFont+F3" w:hAnsi="CIDFont+F3" w:cs="CIDFont+F3"/>
          <w:color w:val="282828"/>
          <w:szCs w:val="24"/>
        </w:rPr>
      </w:pPr>
    </w:p>
    <w:p w:rsidR="004A6B33" w:rsidRPr="00992088" w:rsidRDefault="004A6B33"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Ni más, ni menos que lo que propone el acuerdo plenario de 8 de julio de 2021, si el resultado de la consulta es mayoritaria a favor de elevar al Gobierno de la Nación y a las Cortes Generales una petición para instar la conversión del municipio en comunidad autónoma de acuerdo con lo establecido en el artículo 144 a) de la Constitución Española</w:t>
      </w:r>
    </w:p>
    <w:p w:rsidR="004A6B33" w:rsidRPr="00A200C2" w:rsidRDefault="004A6B33" w:rsidP="00A200C2">
      <w:pPr>
        <w:autoSpaceDE w:val="0"/>
        <w:autoSpaceDN w:val="0"/>
        <w:adjustRightInd w:val="0"/>
        <w:rPr>
          <w:rFonts w:ascii="CIDFont+F3" w:hAnsi="CIDFont+F3" w:cs="CIDFont+F3"/>
          <w:color w:val="282828"/>
          <w:szCs w:val="24"/>
        </w:rPr>
      </w:pP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Establece el citado precepto 144 CE:</w:t>
      </w: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“Las Cortes Generales, mediante ley orgánica, podrán, por motivos de interés nacional:</w:t>
      </w: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a) Autorizar la constitución de una comunidad autónoma cuando su ámbito territorial no</w:t>
      </w:r>
      <w:r w:rsidR="00A4150D" w:rsidRPr="00992088">
        <w:rPr>
          <w:rFonts w:cs="Arial"/>
          <w:color w:val="282828"/>
          <w:szCs w:val="24"/>
        </w:rPr>
        <w:t xml:space="preserve"> </w:t>
      </w:r>
      <w:r w:rsidRPr="00992088">
        <w:rPr>
          <w:rFonts w:cs="Arial"/>
          <w:color w:val="282828"/>
          <w:szCs w:val="24"/>
        </w:rPr>
        <w:t>supere el de una provincia y no reúna las condiciones del apartado 1 del artículo 143.</w:t>
      </w: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b) Autorizar o acordar, en su caso, un Estatuto de autonomía para territorios que no estén</w:t>
      </w:r>
      <w:r w:rsidR="00A4150D" w:rsidRPr="00992088">
        <w:rPr>
          <w:rFonts w:cs="Arial"/>
          <w:color w:val="282828"/>
          <w:szCs w:val="24"/>
        </w:rPr>
        <w:t xml:space="preserve"> </w:t>
      </w:r>
      <w:r w:rsidRPr="00992088">
        <w:rPr>
          <w:rFonts w:cs="Arial"/>
          <w:color w:val="282828"/>
          <w:szCs w:val="24"/>
        </w:rPr>
        <w:t>integrados en la organización provincial.</w:t>
      </w: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c) Sustituir la iniciativa de las Corporaciones locales a que se refiere el apartado 2 del artículo</w:t>
      </w:r>
      <w:r w:rsidR="00A4150D" w:rsidRPr="00992088">
        <w:rPr>
          <w:rFonts w:cs="Arial"/>
          <w:color w:val="282828"/>
          <w:szCs w:val="24"/>
        </w:rPr>
        <w:t xml:space="preserve"> </w:t>
      </w:r>
      <w:r w:rsidRPr="00992088">
        <w:rPr>
          <w:rFonts w:cs="Arial"/>
          <w:color w:val="282828"/>
          <w:szCs w:val="24"/>
        </w:rPr>
        <w:t>143.”</w:t>
      </w:r>
    </w:p>
    <w:p w:rsidR="00C96B03" w:rsidRPr="00A200C2" w:rsidRDefault="00C96B03" w:rsidP="00A200C2">
      <w:pPr>
        <w:autoSpaceDE w:val="0"/>
        <w:autoSpaceDN w:val="0"/>
        <w:adjustRightInd w:val="0"/>
        <w:rPr>
          <w:rFonts w:ascii="CIDFont+F3" w:hAnsi="CIDFont+F3" w:cs="CIDFont+F3"/>
          <w:color w:val="282828"/>
          <w:szCs w:val="24"/>
        </w:rPr>
      </w:pP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En cambio, es importante dejar sentada otra realidad palmaria: con ambos Estatutos</w:t>
      </w:r>
      <w:r w:rsidR="00A4150D" w:rsidRPr="00992088">
        <w:rPr>
          <w:rFonts w:cs="Arial"/>
          <w:color w:val="282828"/>
          <w:szCs w:val="24"/>
        </w:rPr>
        <w:t xml:space="preserve"> </w:t>
      </w:r>
      <w:r w:rsidRPr="00992088">
        <w:rPr>
          <w:rFonts w:cs="Arial"/>
          <w:color w:val="282828"/>
          <w:szCs w:val="24"/>
        </w:rPr>
        <w:t>que fueron los más tardíos en ser aprobados, se cierra definitivamente el dibujo del mapa autonómico</w:t>
      </w:r>
      <w:r w:rsidR="00A4150D" w:rsidRPr="00992088">
        <w:rPr>
          <w:rFonts w:cs="Arial"/>
          <w:color w:val="282828"/>
          <w:szCs w:val="24"/>
        </w:rPr>
        <w:t xml:space="preserve"> </w:t>
      </w:r>
      <w:r w:rsidRPr="00992088">
        <w:rPr>
          <w:rFonts w:cs="Arial"/>
          <w:color w:val="282828"/>
          <w:szCs w:val="24"/>
        </w:rPr>
        <w:t>español.</w:t>
      </w:r>
    </w:p>
    <w:p w:rsidR="008F71A2" w:rsidRPr="00A200C2" w:rsidRDefault="008F71A2" w:rsidP="00A200C2">
      <w:pPr>
        <w:autoSpaceDE w:val="0"/>
        <w:autoSpaceDN w:val="0"/>
        <w:adjustRightInd w:val="0"/>
        <w:rPr>
          <w:rFonts w:ascii="CIDFont+F3" w:hAnsi="CIDFont+F3" w:cs="CIDFont+F3"/>
          <w:color w:val="282828"/>
          <w:szCs w:val="24"/>
        </w:rPr>
      </w:pPr>
    </w:p>
    <w:p w:rsidR="008F71A2" w:rsidRPr="00992088" w:rsidRDefault="008F71A2"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lastRenderedPageBreak/>
        <w:t>Solo recordar que no existe ley alguna que determine</w:t>
      </w:r>
      <w:r w:rsidR="00C62669">
        <w:rPr>
          <w:rFonts w:ascii="Palatino Linotype" w:hAnsi="Palatino Linotype" w:cs="CIDFont+F3"/>
          <w:i/>
          <w:color w:val="282828"/>
          <w:szCs w:val="24"/>
        </w:rPr>
        <w:t xml:space="preserve"> el cierre del mapa autonómico español</w:t>
      </w:r>
      <w:r w:rsidRPr="00992088">
        <w:rPr>
          <w:rFonts w:ascii="Palatino Linotype" w:hAnsi="Palatino Linotype" w:cs="CIDFont+F3"/>
          <w:i/>
          <w:color w:val="282828"/>
          <w:szCs w:val="24"/>
        </w:rPr>
        <w:t>.</w:t>
      </w:r>
      <w:r w:rsidR="00CC4335" w:rsidRPr="00992088">
        <w:rPr>
          <w:rFonts w:ascii="Palatino Linotype" w:hAnsi="Palatino Linotype" w:cs="CIDFont+F3"/>
          <w:i/>
          <w:color w:val="282828"/>
          <w:szCs w:val="24"/>
        </w:rPr>
        <w:t xml:space="preserve"> De hecho algunos sectores de la doctrina discrepan sobre este asunto debido a la ambigüedad de la Carta Magna sobre ello y al artículo 143. Este es uno de los argumentos principales del leonesismo y del </w:t>
      </w:r>
      <w:proofErr w:type="spellStart"/>
      <w:r w:rsidR="00CC4335" w:rsidRPr="00992088">
        <w:rPr>
          <w:rFonts w:ascii="Palatino Linotype" w:hAnsi="Palatino Linotype" w:cs="CIDFont+F3"/>
          <w:i/>
          <w:color w:val="282828"/>
          <w:szCs w:val="24"/>
        </w:rPr>
        <w:t>reunificacionismo</w:t>
      </w:r>
      <w:proofErr w:type="spellEnd"/>
      <w:r w:rsidR="00CC4335" w:rsidRPr="00992088">
        <w:rPr>
          <w:rFonts w:ascii="Palatino Linotype" w:hAnsi="Palatino Linotype" w:cs="CIDFont+F3"/>
          <w:i/>
          <w:color w:val="282828"/>
          <w:szCs w:val="24"/>
        </w:rPr>
        <w:t xml:space="preserve"> de Puerto Rico. Curiosamente, la opinión mayoritaria entre los juristas es que la única que tiene posibilidad real de ser la 18 comunidad autónoma es Puerto Rico, que goza de Estatuto de Autonomía concedido en 1897 e interrumpido por la guerra hispanoamericana de 1898. En el caso de León, el estatuto de Castilla y León evita toda disgregación del territorio.</w:t>
      </w:r>
    </w:p>
    <w:p w:rsidR="00CC4335" w:rsidRPr="00A200C2" w:rsidRDefault="00CC4335" w:rsidP="00A200C2">
      <w:pPr>
        <w:autoSpaceDE w:val="0"/>
        <w:autoSpaceDN w:val="0"/>
        <w:adjustRightInd w:val="0"/>
        <w:rPr>
          <w:rFonts w:ascii="CIDFont+F3" w:hAnsi="CIDFont+F3" w:cs="CIDFont+F3"/>
          <w:i/>
          <w:color w:val="282828"/>
          <w:szCs w:val="24"/>
        </w:rPr>
      </w:pPr>
      <w:r w:rsidRPr="00992088">
        <w:rPr>
          <w:rFonts w:ascii="Palatino Linotype" w:hAnsi="Palatino Linotype" w:cs="CIDFont+F3"/>
          <w:i/>
          <w:color w:val="282828"/>
          <w:szCs w:val="24"/>
        </w:rPr>
        <w:t>Como decimos, el acuerdo de pleno del Ayuntamiento de La Línea no define ningún modelo autonómico, lo que corresponderá a la Cortes Generales, solo pretende recabar el parecer de sus vecinos tras una campaña explicativa en la que se oirán voces y argumentos a favor y en contra.</w:t>
      </w:r>
    </w:p>
    <w:p w:rsidR="00AA369C" w:rsidRPr="00A200C2" w:rsidRDefault="00AA369C" w:rsidP="00A200C2">
      <w:pPr>
        <w:autoSpaceDE w:val="0"/>
        <w:autoSpaceDN w:val="0"/>
        <w:adjustRightInd w:val="0"/>
        <w:rPr>
          <w:rFonts w:ascii="CIDFont+F3" w:hAnsi="CIDFont+F3" w:cs="CIDFont+F3"/>
          <w:color w:val="282828"/>
          <w:szCs w:val="24"/>
        </w:rPr>
      </w:pP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El Acuerdo Plenario que se combate funda su pretensión de erigirse en ciudad autónoma</w:t>
      </w:r>
      <w:r w:rsidR="00A4150D" w:rsidRPr="00992088">
        <w:rPr>
          <w:rFonts w:cs="Arial"/>
          <w:color w:val="282828"/>
          <w:szCs w:val="24"/>
        </w:rPr>
        <w:t xml:space="preserve"> </w:t>
      </w:r>
      <w:r w:rsidRPr="00992088">
        <w:rPr>
          <w:rFonts w:cs="Arial"/>
          <w:color w:val="282828"/>
          <w:szCs w:val="24"/>
        </w:rPr>
        <w:t>en el artículo 144 a) CE. Si bien, este fundamento no sólo es extemporáneo- el proceso de desarrollo</w:t>
      </w:r>
      <w:r w:rsidR="00A4150D" w:rsidRPr="00992088">
        <w:rPr>
          <w:rFonts w:cs="Arial"/>
          <w:color w:val="282828"/>
          <w:szCs w:val="24"/>
        </w:rPr>
        <w:t xml:space="preserve"> </w:t>
      </w:r>
      <w:r w:rsidRPr="00992088">
        <w:rPr>
          <w:rFonts w:cs="Arial"/>
          <w:color w:val="282828"/>
          <w:szCs w:val="24"/>
        </w:rPr>
        <w:t>autonómico español ya está culminado- sino que, además, confronta con el espíritu para</w:t>
      </w:r>
      <w:r w:rsidR="00A4150D" w:rsidRPr="00992088">
        <w:rPr>
          <w:rFonts w:cs="Arial"/>
          <w:color w:val="282828"/>
          <w:szCs w:val="24"/>
        </w:rPr>
        <w:t xml:space="preserve"> </w:t>
      </w:r>
      <w:r w:rsidRPr="00992088">
        <w:rPr>
          <w:rFonts w:cs="Arial"/>
          <w:color w:val="282828"/>
          <w:szCs w:val="24"/>
        </w:rPr>
        <w:t>el que fue creado</w:t>
      </w:r>
    </w:p>
    <w:p w:rsidR="00547410" w:rsidRPr="00A200C2" w:rsidRDefault="00547410" w:rsidP="00A200C2">
      <w:pPr>
        <w:autoSpaceDE w:val="0"/>
        <w:autoSpaceDN w:val="0"/>
        <w:adjustRightInd w:val="0"/>
        <w:rPr>
          <w:rFonts w:ascii="CIDFont+F3" w:hAnsi="CIDFont+F3" w:cs="CIDFont+F3"/>
          <w:color w:val="282828"/>
          <w:szCs w:val="24"/>
        </w:rPr>
      </w:pPr>
    </w:p>
    <w:p w:rsidR="00547410" w:rsidRPr="00992088" w:rsidRDefault="00547410"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La Constitución declara intangible el territorio nacional, pero no establece cuál es el territorio cuya integridad se proclama. La defensa de la misma, atribuida expresamente a las Fuerzas Armadas, no está acompañada de una declaración sobre cuáles son las partes componentes del territorio nacional.</w:t>
      </w:r>
    </w:p>
    <w:p w:rsidR="00547410" w:rsidRPr="00992088" w:rsidRDefault="00547410"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A falta de precisión constitucional, existe un segundo escalón legal, en el que sí está definido el territorio: se trata de las leyes orgánicas por las que han sido aprobados los estatutos de las comunidades autónomas. El artículo 147 de la Constitución obliga a fijar los respectivos territorios de cada comunidad, a través de los correspondientes estatutos.</w:t>
      </w:r>
    </w:p>
    <w:p w:rsidR="001858EB" w:rsidRPr="00A200C2" w:rsidRDefault="001858EB" w:rsidP="00A200C2">
      <w:pPr>
        <w:autoSpaceDE w:val="0"/>
        <w:autoSpaceDN w:val="0"/>
        <w:adjustRightInd w:val="0"/>
        <w:rPr>
          <w:rFonts w:ascii="CIDFont+F3" w:hAnsi="CIDFont+F3" w:cs="CIDFont+F3"/>
          <w:i/>
          <w:color w:val="282828"/>
          <w:szCs w:val="24"/>
        </w:rPr>
      </w:pPr>
      <w:r w:rsidRPr="00992088">
        <w:rPr>
          <w:rFonts w:ascii="Palatino Linotype" w:hAnsi="Palatino Linotype" w:cs="CIDFont+F3"/>
          <w:i/>
          <w:color w:val="282828"/>
          <w:szCs w:val="24"/>
        </w:rPr>
        <w:t>El Estatuto andaluz solo cita las provincias, no sus municipios.</w:t>
      </w:r>
    </w:p>
    <w:p w:rsidR="00AA369C" w:rsidRPr="00A200C2" w:rsidRDefault="00AA369C" w:rsidP="00A200C2">
      <w:pPr>
        <w:autoSpaceDE w:val="0"/>
        <w:autoSpaceDN w:val="0"/>
        <w:adjustRightInd w:val="0"/>
        <w:rPr>
          <w:rFonts w:ascii="CIDFont+F3" w:hAnsi="CIDFont+F3" w:cs="CIDFont+F3"/>
          <w:color w:val="282828"/>
          <w:szCs w:val="24"/>
        </w:rPr>
      </w:pPr>
    </w:p>
    <w:p w:rsidR="00AA369C" w:rsidRPr="00992088" w:rsidRDefault="00AA369C" w:rsidP="00A200C2">
      <w:pPr>
        <w:autoSpaceDE w:val="0"/>
        <w:autoSpaceDN w:val="0"/>
        <w:adjustRightInd w:val="0"/>
        <w:rPr>
          <w:rFonts w:cs="Arial"/>
          <w:color w:val="282828"/>
          <w:szCs w:val="24"/>
        </w:rPr>
      </w:pPr>
      <w:r w:rsidRPr="00992088">
        <w:rPr>
          <w:rFonts w:cs="Arial"/>
          <w:color w:val="282828"/>
          <w:szCs w:val="24"/>
        </w:rPr>
        <w:t>En este mismo hilo argumental, se trae a colación un extracto del Informe de la Comisión</w:t>
      </w:r>
      <w:r w:rsidR="00A4150D" w:rsidRPr="00992088">
        <w:rPr>
          <w:rFonts w:cs="Arial"/>
          <w:color w:val="282828"/>
          <w:szCs w:val="24"/>
        </w:rPr>
        <w:t xml:space="preserve"> </w:t>
      </w:r>
      <w:r w:rsidRPr="00992088">
        <w:rPr>
          <w:rFonts w:cs="Arial"/>
          <w:color w:val="282828"/>
          <w:szCs w:val="24"/>
        </w:rPr>
        <w:t>de Expertos sobre las Autonomías, elaborado en fecha 19 de mayo de 1981. En el mismo, en el</w:t>
      </w:r>
      <w:r w:rsidR="00A4150D" w:rsidRPr="00992088">
        <w:rPr>
          <w:rFonts w:cs="Arial"/>
          <w:color w:val="282828"/>
          <w:szCs w:val="24"/>
        </w:rPr>
        <w:t xml:space="preserve"> </w:t>
      </w:r>
      <w:r w:rsidRPr="00992088">
        <w:rPr>
          <w:rFonts w:cs="Arial"/>
          <w:color w:val="282828"/>
          <w:szCs w:val="24"/>
        </w:rPr>
        <w:t xml:space="preserve">marco de la justificación para la creación de las CCAA </w:t>
      </w:r>
      <w:proofErr w:type="spellStart"/>
      <w:r w:rsidR="00A4150D" w:rsidRPr="00992088">
        <w:rPr>
          <w:rFonts w:cs="Arial"/>
          <w:color w:val="282828"/>
          <w:szCs w:val="24"/>
        </w:rPr>
        <w:t>u</w:t>
      </w:r>
      <w:r w:rsidRPr="00992088">
        <w:rPr>
          <w:rFonts w:cs="Arial"/>
          <w:color w:val="282828"/>
          <w:szCs w:val="24"/>
        </w:rPr>
        <w:t>niprovinciales</w:t>
      </w:r>
      <w:proofErr w:type="spellEnd"/>
      <w:r w:rsidRPr="00992088">
        <w:rPr>
          <w:rFonts w:cs="Arial"/>
          <w:color w:val="282828"/>
          <w:szCs w:val="24"/>
        </w:rPr>
        <w:t xml:space="preserve"> (que es en definitiva lo</w:t>
      </w:r>
      <w:r w:rsidR="00A4150D" w:rsidRPr="00992088">
        <w:rPr>
          <w:rFonts w:cs="Arial"/>
          <w:color w:val="282828"/>
          <w:szCs w:val="24"/>
        </w:rPr>
        <w:t xml:space="preserve"> </w:t>
      </w:r>
      <w:r w:rsidRPr="00992088">
        <w:rPr>
          <w:rFonts w:cs="Arial"/>
          <w:color w:val="282828"/>
          <w:szCs w:val="24"/>
        </w:rPr>
        <w:t>que persigue el Ayuntamiento linense, se recoge (sic):</w:t>
      </w:r>
    </w:p>
    <w:p w:rsidR="00AA369C" w:rsidRPr="00A200C2" w:rsidRDefault="00AA369C" w:rsidP="00A200C2">
      <w:pPr>
        <w:autoSpaceDE w:val="0"/>
        <w:autoSpaceDN w:val="0"/>
        <w:adjustRightInd w:val="0"/>
        <w:rPr>
          <w:rFonts w:ascii="CIDFont+F3" w:hAnsi="CIDFont+F3" w:cs="CIDFont+F3"/>
          <w:color w:val="282828"/>
          <w:szCs w:val="24"/>
        </w:rPr>
      </w:pPr>
      <w:r w:rsidRPr="00992088">
        <w:rPr>
          <w:rFonts w:cs="Arial"/>
          <w:color w:val="282828"/>
          <w:szCs w:val="24"/>
        </w:rPr>
        <w:t>“Para que una provincia pueda constituirse en Comunidad autónoma en solitario se exige</w:t>
      </w:r>
      <w:r w:rsidR="00A4150D" w:rsidRPr="00992088">
        <w:rPr>
          <w:rFonts w:cs="Arial"/>
          <w:color w:val="282828"/>
          <w:szCs w:val="24"/>
        </w:rPr>
        <w:t xml:space="preserve"> </w:t>
      </w:r>
      <w:r w:rsidRPr="00992088">
        <w:rPr>
          <w:rFonts w:cs="Arial"/>
          <w:color w:val="282828"/>
          <w:szCs w:val="24"/>
        </w:rPr>
        <w:t>en el artículo 143 de la Constitución que tenga «entidad regional histórica». La apreciación de que</w:t>
      </w:r>
      <w:r w:rsidR="00A4150D" w:rsidRPr="00992088">
        <w:rPr>
          <w:rFonts w:cs="Arial"/>
          <w:color w:val="282828"/>
          <w:szCs w:val="24"/>
        </w:rPr>
        <w:t xml:space="preserve"> </w:t>
      </w:r>
      <w:r w:rsidRPr="00992088">
        <w:rPr>
          <w:rFonts w:cs="Arial"/>
          <w:color w:val="282828"/>
          <w:szCs w:val="24"/>
        </w:rPr>
        <w:t>una provincia cumple tal requisito corresponde a las propias Cortes Generales. En el caso de que</w:t>
      </w:r>
      <w:r w:rsidR="00A4150D" w:rsidRPr="00992088">
        <w:rPr>
          <w:rFonts w:cs="Arial"/>
          <w:color w:val="282828"/>
          <w:szCs w:val="24"/>
        </w:rPr>
        <w:t xml:space="preserve"> </w:t>
      </w:r>
      <w:r w:rsidRPr="00992088">
        <w:rPr>
          <w:rFonts w:cs="Arial"/>
          <w:color w:val="282828"/>
          <w:szCs w:val="24"/>
        </w:rPr>
        <w:t>no se considere que un territorio cumple las específicas condiciones exigidas por el artículo 143,</w:t>
      </w:r>
      <w:r w:rsidR="00A4150D" w:rsidRPr="00992088">
        <w:rPr>
          <w:rFonts w:cs="Arial"/>
          <w:color w:val="282828"/>
          <w:szCs w:val="24"/>
        </w:rPr>
        <w:t xml:space="preserve"> </w:t>
      </w:r>
      <w:r w:rsidRPr="00992088">
        <w:rPr>
          <w:rFonts w:cs="Arial"/>
          <w:color w:val="282828"/>
          <w:szCs w:val="24"/>
        </w:rPr>
        <w:t>las Cortes pueden, sin embargo, mediante ley orgánica, autorizar la constitución de la Comunidad</w:t>
      </w:r>
      <w:r w:rsidR="00A4150D" w:rsidRPr="00992088">
        <w:rPr>
          <w:rFonts w:cs="Arial"/>
          <w:color w:val="282828"/>
          <w:szCs w:val="24"/>
        </w:rPr>
        <w:t xml:space="preserve"> </w:t>
      </w:r>
      <w:r w:rsidRPr="00992088">
        <w:rPr>
          <w:rFonts w:cs="Arial"/>
          <w:color w:val="282828"/>
          <w:szCs w:val="24"/>
        </w:rPr>
        <w:t xml:space="preserve">autónoma </w:t>
      </w:r>
      <w:proofErr w:type="spellStart"/>
      <w:r w:rsidRPr="00992088">
        <w:rPr>
          <w:rFonts w:cs="Arial"/>
          <w:color w:val="282828"/>
          <w:szCs w:val="24"/>
        </w:rPr>
        <w:t>uniprovincial</w:t>
      </w:r>
      <w:proofErr w:type="spellEnd"/>
      <w:r w:rsidRPr="00992088">
        <w:rPr>
          <w:rFonts w:cs="Arial"/>
          <w:color w:val="282828"/>
          <w:szCs w:val="24"/>
        </w:rPr>
        <w:t>, a tenor de lo dispuesto en el artículo 144, letra a).</w:t>
      </w:r>
    </w:p>
    <w:p w:rsidR="004A6B33" w:rsidRPr="00A200C2" w:rsidRDefault="004A6B33" w:rsidP="00A200C2">
      <w:pPr>
        <w:autoSpaceDE w:val="0"/>
        <w:autoSpaceDN w:val="0"/>
        <w:adjustRightInd w:val="0"/>
        <w:rPr>
          <w:rFonts w:ascii="CIDFont+F3" w:hAnsi="CIDFont+F3" w:cs="CIDFont+F3"/>
          <w:color w:val="282828"/>
          <w:szCs w:val="24"/>
        </w:rPr>
      </w:pPr>
    </w:p>
    <w:p w:rsidR="001515A3" w:rsidRPr="00992088" w:rsidRDefault="004A6B33"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Reiterar</w:t>
      </w:r>
      <w:r w:rsidR="007913AF" w:rsidRPr="00992088">
        <w:rPr>
          <w:rFonts w:ascii="Palatino Linotype" w:hAnsi="Palatino Linotype" w:cs="CIDFont+F3"/>
          <w:i/>
          <w:color w:val="282828"/>
          <w:szCs w:val="24"/>
        </w:rPr>
        <w:t>,</w:t>
      </w:r>
      <w:r w:rsidRPr="00992088">
        <w:rPr>
          <w:rFonts w:ascii="Palatino Linotype" w:hAnsi="Palatino Linotype" w:cs="CIDFont+F3"/>
          <w:i/>
          <w:color w:val="282828"/>
          <w:szCs w:val="24"/>
        </w:rPr>
        <w:t xml:space="preserve"> una vez más</w:t>
      </w:r>
      <w:r w:rsidR="007913AF" w:rsidRPr="00992088">
        <w:rPr>
          <w:rFonts w:ascii="Palatino Linotype" w:hAnsi="Palatino Linotype" w:cs="CIDFont+F3"/>
          <w:i/>
          <w:color w:val="282828"/>
          <w:szCs w:val="24"/>
        </w:rPr>
        <w:t>,</w:t>
      </w:r>
      <w:r w:rsidRPr="00992088">
        <w:rPr>
          <w:rFonts w:ascii="Palatino Linotype" w:hAnsi="Palatino Linotype" w:cs="CIDFont+F3"/>
          <w:i/>
          <w:color w:val="282828"/>
          <w:szCs w:val="24"/>
        </w:rPr>
        <w:t xml:space="preserve"> que La Línea no puede, ni pretende, constituir una comunidad autónoma </w:t>
      </w:r>
      <w:proofErr w:type="spellStart"/>
      <w:r w:rsidRPr="00992088">
        <w:rPr>
          <w:rFonts w:ascii="Palatino Linotype" w:hAnsi="Palatino Linotype" w:cs="CIDFont+F3"/>
          <w:i/>
          <w:color w:val="282828"/>
          <w:szCs w:val="24"/>
        </w:rPr>
        <w:t>uniprovincial</w:t>
      </w:r>
      <w:proofErr w:type="spellEnd"/>
      <w:r w:rsidRPr="00992088">
        <w:rPr>
          <w:rFonts w:ascii="Palatino Linotype" w:hAnsi="Palatino Linotype" w:cs="CIDFont+F3"/>
          <w:i/>
          <w:color w:val="282828"/>
          <w:szCs w:val="24"/>
        </w:rPr>
        <w:t xml:space="preserve">, porque el concepto de provincia, como claramente indica </w:t>
      </w:r>
      <w:r w:rsidR="001515A3" w:rsidRPr="00992088">
        <w:rPr>
          <w:rFonts w:ascii="Palatino Linotype" w:hAnsi="Palatino Linotype" w:cs="CIDFont+F3"/>
          <w:i/>
          <w:color w:val="282828"/>
          <w:szCs w:val="24"/>
        </w:rPr>
        <w:t xml:space="preserve">el </w:t>
      </w:r>
      <w:r w:rsidR="001515A3" w:rsidRPr="00992088">
        <w:rPr>
          <w:rFonts w:ascii="Palatino Linotype" w:hAnsi="Palatino Linotype" w:cs="CIDFont+F3"/>
          <w:i/>
          <w:color w:val="282828"/>
          <w:szCs w:val="24"/>
        </w:rPr>
        <w:lastRenderedPageBreak/>
        <w:t>artículo  31</w:t>
      </w:r>
      <w:r w:rsidR="007913AF" w:rsidRPr="00992088">
        <w:rPr>
          <w:rFonts w:ascii="Palatino Linotype" w:hAnsi="Palatino Linotype" w:cs="CIDFont+F3"/>
          <w:i/>
          <w:color w:val="282828"/>
          <w:szCs w:val="24"/>
        </w:rPr>
        <w:t>.1</w:t>
      </w:r>
      <w:r w:rsidR="001515A3" w:rsidRPr="00992088">
        <w:rPr>
          <w:rFonts w:ascii="Palatino Linotype" w:hAnsi="Palatino Linotype" w:cs="CIDFont+F3"/>
          <w:i/>
          <w:color w:val="282828"/>
          <w:szCs w:val="24"/>
        </w:rPr>
        <w:t xml:space="preserve"> de la Ley 7/1985, de 2 de abril, reguladora de las Bases del Régimen Local,  es</w:t>
      </w:r>
      <w:r w:rsidR="007913AF" w:rsidRPr="00992088">
        <w:rPr>
          <w:rFonts w:ascii="Palatino Linotype" w:hAnsi="Palatino Linotype" w:cs="CIDFont+F3"/>
          <w:i/>
          <w:color w:val="282828"/>
          <w:szCs w:val="24"/>
        </w:rPr>
        <w:t xml:space="preserve"> el de</w:t>
      </w:r>
      <w:r w:rsidR="001515A3" w:rsidRPr="00992088">
        <w:rPr>
          <w:rFonts w:ascii="Palatino Linotype" w:hAnsi="Palatino Linotype" w:cs="CIDFont+F3"/>
          <w:i/>
          <w:color w:val="282828"/>
          <w:szCs w:val="24"/>
        </w:rPr>
        <w:t xml:space="preserve"> </w:t>
      </w:r>
      <w:r w:rsidR="007913AF" w:rsidRPr="00992088">
        <w:rPr>
          <w:rFonts w:ascii="Palatino Linotype" w:hAnsi="Palatino Linotype" w:cs="CIDFont+F3"/>
          <w:i/>
          <w:color w:val="282828"/>
          <w:szCs w:val="24"/>
        </w:rPr>
        <w:t>“</w:t>
      </w:r>
      <w:r w:rsidR="001515A3" w:rsidRPr="00992088">
        <w:rPr>
          <w:rFonts w:ascii="Palatino Linotype" w:hAnsi="Palatino Linotype" w:cs="CIDFont+F3"/>
          <w:i/>
          <w:color w:val="282828"/>
          <w:szCs w:val="24"/>
        </w:rPr>
        <w:t xml:space="preserve">una entidad local determinada </w:t>
      </w:r>
      <w:r w:rsidR="001515A3" w:rsidRPr="00992088">
        <w:rPr>
          <w:rFonts w:ascii="Palatino Linotype" w:hAnsi="Palatino Linotype" w:cs="CIDFont+F3"/>
          <w:i/>
          <w:color w:val="282828"/>
          <w:szCs w:val="24"/>
          <w:u w:val="single"/>
        </w:rPr>
        <w:t>por la agrupación de Municipios</w:t>
      </w:r>
      <w:r w:rsidR="001515A3" w:rsidRPr="00992088">
        <w:rPr>
          <w:rFonts w:ascii="Palatino Linotype" w:hAnsi="Palatino Linotype" w:cs="CIDFont+F3"/>
          <w:i/>
          <w:color w:val="282828"/>
          <w:szCs w:val="24"/>
        </w:rPr>
        <w:t>, con personalidad jurídica propia y plena capacidad pa</w:t>
      </w:r>
      <w:r w:rsidR="007913AF" w:rsidRPr="00992088">
        <w:rPr>
          <w:rFonts w:ascii="Palatino Linotype" w:hAnsi="Palatino Linotype" w:cs="CIDFont+F3"/>
          <w:i/>
          <w:color w:val="282828"/>
          <w:szCs w:val="24"/>
        </w:rPr>
        <w:t>ra el cumplimiento de sus fines”.</w:t>
      </w:r>
    </w:p>
    <w:p w:rsidR="001515A3" w:rsidRPr="00A200C2" w:rsidRDefault="007913AF" w:rsidP="00A200C2">
      <w:pPr>
        <w:autoSpaceDE w:val="0"/>
        <w:autoSpaceDN w:val="0"/>
        <w:adjustRightInd w:val="0"/>
        <w:rPr>
          <w:rFonts w:ascii="CIDFont+F3" w:hAnsi="CIDFont+F3" w:cs="CIDFont+F3"/>
          <w:i/>
          <w:color w:val="282828"/>
          <w:szCs w:val="24"/>
        </w:rPr>
      </w:pPr>
      <w:r w:rsidRPr="00992088">
        <w:rPr>
          <w:rFonts w:ascii="Palatino Linotype" w:hAnsi="Palatino Linotype" w:cs="CIDFont+F3"/>
          <w:i/>
          <w:color w:val="282828"/>
          <w:szCs w:val="24"/>
        </w:rPr>
        <w:t>Otra cuestión será, que en el marco de las negociaciones que se llevaran a cabo, caso de autorizarse la consulta, que es el asunto de fondo que</w:t>
      </w:r>
      <w:r w:rsidR="00C62669">
        <w:rPr>
          <w:rFonts w:ascii="Palatino Linotype" w:hAnsi="Palatino Linotype" w:cs="CIDFont+F3"/>
          <w:i/>
          <w:color w:val="282828"/>
          <w:szCs w:val="24"/>
        </w:rPr>
        <w:t xml:space="preserve"> se</w:t>
      </w:r>
      <w:r w:rsidRPr="00992088">
        <w:rPr>
          <w:rFonts w:ascii="Palatino Linotype" w:hAnsi="Palatino Linotype" w:cs="CIDFont+F3"/>
          <w:i/>
          <w:color w:val="282828"/>
          <w:szCs w:val="24"/>
        </w:rPr>
        <w:t xml:space="preserve"> ventila, en la redacción de las leyes orgánicas que darían acceso a la autonomía de la </w:t>
      </w:r>
      <w:r w:rsidRPr="00992088">
        <w:rPr>
          <w:rFonts w:ascii="Palatino Linotype" w:hAnsi="Palatino Linotype" w:cs="CIDFont+F3"/>
          <w:i/>
          <w:color w:val="282828"/>
          <w:szCs w:val="24"/>
          <w:u w:val="single"/>
        </w:rPr>
        <w:t>Ciudad de La Línea de la Concepción</w:t>
      </w:r>
      <w:r w:rsidRPr="00992088">
        <w:rPr>
          <w:rFonts w:ascii="Palatino Linotype" w:hAnsi="Palatino Linotype" w:cs="CIDFont+F3"/>
          <w:i/>
          <w:color w:val="282828"/>
          <w:szCs w:val="24"/>
        </w:rPr>
        <w:t xml:space="preserve">, se arbitrara alguna fórmula para dar cabida a los </w:t>
      </w:r>
      <w:r w:rsidR="001515A3" w:rsidRPr="00992088">
        <w:rPr>
          <w:rFonts w:ascii="Palatino Linotype" w:hAnsi="Palatino Linotype" w:cs="CIDFont+F3"/>
          <w:i/>
          <w:color w:val="282828"/>
          <w:szCs w:val="24"/>
        </w:rPr>
        <w:t xml:space="preserve">principios de solidaridad y equilibrio intermunicipales, en el marco de la política económica y social </w:t>
      </w:r>
      <w:r w:rsidR="005F2EA6" w:rsidRPr="00992088">
        <w:rPr>
          <w:rFonts w:ascii="Palatino Linotype" w:hAnsi="Palatino Linotype" w:cs="CIDFont+F3"/>
          <w:i/>
          <w:color w:val="282828"/>
          <w:szCs w:val="24"/>
        </w:rPr>
        <w:t xml:space="preserve">, </w:t>
      </w:r>
      <w:r w:rsidR="001858EB" w:rsidRPr="00992088">
        <w:rPr>
          <w:rFonts w:ascii="Palatino Linotype" w:hAnsi="Palatino Linotype" w:cs="CIDFont+F3"/>
          <w:i/>
          <w:color w:val="282828"/>
          <w:szCs w:val="24"/>
        </w:rPr>
        <w:t>a</w:t>
      </w:r>
      <w:r w:rsidR="001515A3" w:rsidRPr="00992088">
        <w:rPr>
          <w:rFonts w:ascii="Palatino Linotype" w:hAnsi="Palatino Linotype" w:cs="CIDFont+F3"/>
          <w:i/>
          <w:color w:val="282828"/>
          <w:szCs w:val="24"/>
        </w:rPr>
        <w:t>segura</w:t>
      </w:r>
      <w:r w:rsidR="005F2EA6" w:rsidRPr="00992088">
        <w:rPr>
          <w:rFonts w:ascii="Palatino Linotype" w:hAnsi="Palatino Linotype" w:cs="CIDFont+F3"/>
          <w:i/>
          <w:color w:val="282828"/>
          <w:szCs w:val="24"/>
        </w:rPr>
        <w:t>ndo</w:t>
      </w:r>
      <w:r w:rsidR="001515A3" w:rsidRPr="00992088">
        <w:rPr>
          <w:rFonts w:ascii="Palatino Linotype" w:hAnsi="Palatino Linotype" w:cs="CIDFont+F3"/>
          <w:i/>
          <w:color w:val="282828"/>
          <w:szCs w:val="24"/>
        </w:rPr>
        <w:t xml:space="preserve"> la prestación integral y adecuada en la totalidad del territorio </w:t>
      </w:r>
      <w:r w:rsidR="005F2EA6" w:rsidRPr="00992088">
        <w:rPr>
          <w:rFonts w:ascii="Palatino Linotype" w:hAnsi="Palatino Linotype" w:cs="CIDFont+F3"/>
          <w:i/>
          <w:color w:val="282828"/>
          <w:szCs w:val="24"/>
        </w:rPr>
        <w:t>linense; p</w:t>
      </w:r>
      <w:r w:rsidR="001515A3" w:rsidRPr="00992088">
        <w:rPr>
          <w:rFonts w:ascii="Palatino Linotype" w:hAnsi="Palatino Linotype" w:cs="CIDFont+F3"/>
          <w:i/>
          <w:color w:val="282828"/>
          <w:szCs w:val="24"/>
        </w:rPr>
        <w:t>articipa</w:t>
      </w:r>
      <w:r w:rsidR="005F2EA6" w:rsidRPr="00992088">
        <w:rPr>
          <w:rFonts w:ascii="Palatino Linotype" w:hAnsi="Palatino Linotype" w:cs="CIDFont+F3"/>
          <w:i/>
          <w:color w:val="282828"/>
          <w:szCs w:val="24"/>
        </w:rPr>
        <w:t>ndo</w:t>
      </w:r>
      <w:r w:rsidR="001515A3" w:rsidRPr="00992088">
        <w:rPr>
          <w:rFonts w:ascii="Palatino Linotype" w:hAnsi="Palatino Linotype" w:cs="CIDFont+F3"/>
          <w:i/>
          <w:color w:val="282828"/>
          <w:szCs w:val="24"/>
        </w:rPr>
        <w:t xml:space="preserve"> en la coordinación de la Administración local con la de la</w:t>
      </w:r>
      <w:r w:rsidR="005F2EA6" w:rsidRPr="00992088">
        <w:rPr>
          <w:rFonts w:ascii="Palatino Linotype" w:hAnsi="Palatino Linotype" w:cs="CIDFont+F3"/>
          <w:i/>
          <w:color w:val="282828"/>
          <w:szCs w:val="24"/>
        </w:rPr>
        <w:t xml:space="preserve"> mancomunidad del Campo de Gibraltar, la Diputación de Cádiz, la</w:t>
      </w:r>
      <w:r w:rsidR="001515A3" w:rsidRPr="00992088">
        <w:rPr>
          <w:rFonts w:ascii="Palatino Linotype" w:hAnsi="Palatino Linotype" w:cs="CIDFont+F3"/>
          <w:i/>
          <w:color w:val="282828"/>
          <w:szCs w:val="24"/>
        </w:rPr>
        <w:t xml:space="preserve"> Comunidad Autónoma</w:t>
      </w:r>
      <w:r w:rsidR="005F2EA6" w:rsidRPr="00992088">
        <w:rPr>
          <w:rFonts w:ascii="Palatino Linotype" w:hAnsi="Palatino Linotype" w:cs="CIDFont+F3"/>
          <w:i/>
          <w:color w:val="282828"/>
          <w:szCs w:val="24"/>
        </w:rPr>
        <w:t xml:space="preserve"> de Andalucía</w:t>
      </w:r>
      <w:r w:rsidR="001515A3" w:rsidRPr="00992088">
        <w:rPr>
          <w:rFonts w:ascii="Palatino Linotype" w:hAnsi="Palatino Linotype" w:cs="CIDFont+F3"/>
          <w:i/>
          <w:color w:val="282828"/>
          <w:szCs w:val="24"/>
        </w:rPr>
        <w:t xml:space="preserve"> y la del Estado.</w:t>
      </w:r>
    </w:p>
    <w:p w:rsidR="001858EB" w:rsidRPr="00A200C2" w:rsidRDefault="001858EB" w:rsidP="00A200C2">
      <w:pPr>
        <w:autoSpaceDE w:val="0"/>
        <w:autoSpaceDN w:val="0"/>
        <w:adjustRightInd w:val="0"/>
        <w:rPr>
          <w:rFonts w:ascii="CIDFont+F3" w:hAnsi="CIDFont+F3" w:cs="CIDFont+F3"/>
          <w:i/>
          <w:color w:val="282828"/>
          <w:szCs w:val="24"/>
        </w:rPr>
      </w:pPr>
    </w:p>
    <w:p w:rsidR="001858EB" w:rsidRPr="00992088" w:rsidRDefault="001858EB" w:rsidP="00A200C2">
      <w:pPr>
        <w:autoSpaceDE w:val="0"/>
        <w:autoSpaceDN w:val="0"/>
        <w:adjustRightInd w:val="0"/>
        <w:rPr>
          <w:rFonts w:cs="Arial"/>
          <w:color w:val="282828"/>
          <w:szCs w:val="24"/>
        </w:rPr>
      </w:pPr>
      <w:r w:rsidRPr="00992088">
        <w:rPr>
          <w:rFonts w:cs="Arial"/>
          <w:color w:val="282828"/>
          <w:szCs w:val="24"/>
        </w:rPr>
        <w:t>Ahora bien, resulta de todo punto necesario utilizar las previsiones constitucionales con el máximo rigor: la condición de provincia con entidad regional histórica no puede ser confundida con un pasado histórico más o menos relevante, sino que debe contar con una tradición histórica de singularidad regional institucionalizada…”</w:t>
      </w:r>
    </w:p>
    <w:p w:rsidR="001858EB" w:rsidRPr="00A200C2" w:rsidRDefault="001858EB" w:rsidP="00A200C2">
      <w:pPr>
        <w:autoSpaceDE w:val="0"/>
        <w:autoSpaceDN w:val="0"/>
        <w:adjustRightInd w:val="0"/>
        <w:rPr>
          <w:rFonts w:ascii="CIDFont+F3" w:hAnsi="CIDFont+F3" w:cs="CIDFont+F3"/>
          <w:color w:val="282828"/>
          <w:szCs w:val="24"/>
        </w:rPr>
      </w:pPr>
    </w:p>
    <w:p w:rsidR="001858EB" w:rsidRPr="00992088" w:rsidRDefault="001858EB"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Evidentemente, la petición de tradición histórica de singularidad regional institucionalizada</w:t>
      </w:r>
      <w:r w:rsidR="00F81007" w:rsidRPr="00992088">
        <w:rPr>
          <w:rFonts w:ascii="Palatino Linotype" w:hAnsi="Palatino Linotype" w:cs="CIDFont+F3"/>
          <w:i/>
          <w:color w:val="282828"/>
          <w:szCs w:val="24"/>
        </w:rPr>
        <w:t xml:space="preserve"> surge en un contexto histórico</w:t>
      </w:r>
      <w:r w:rsidR="000B18B7" w:rsidRPr="00992088">
        <w:rPr>
          <w:rFonts w:ascii="Palatino Linotype" w:hAnsi="Palatino Linotype" w:cs="CIDFont+F3"/>
          <w:i/>
          <w:color w:val="282828"/>
          <w:szCs w:val="24"/>
        </w:rPr>
        <w:t xml:space="preserve"> y con una finalidad que </w:t>
      </w:r>
      <w:r w:rsidR="00C46756" w:rsidRPr="00992088">
        <w:rPr>
          <w:rFonts w:ascii="Palatino Linotype" w:hAnsi="Palatino Linotype" w:cs="CIDFont+F3"/>
          <w:i/>
          <w:color w:val="282828"/>
          <w:szCs w:val="24"/>
        </w:rPr>
        <w:t>nunca llegó a concretarse</w:t>
      </w:r>
      <w:r w:rsidR="00932075" w:rsidRPr="00992088">
        <w:rPr>
          <w:rFonts w:ascii="Palatino Linotype" w:hAnsi="Palatino Linotype" w:cs="CIDFont+F3"/>
          <w:i/>
          <w:color w:val="282828"/>
          <w:szCs w:val="24"/>
        </w:rPr>
        <w:t>, y que de haberlo hecho, probablemente a España le habría ido mucho mejor sobre todo en el control del dispendio del gasto público “autonómico”</w:t>
      </w:r>
      <w:r w:rsidR="00C46756" w:rsidRPr="00992088">
        <w:rPr>
          <w:rFonts w:ascii="Palatino Linotype" w:hAnsi="Palatino Linotype" w:cs="CIDFont+F3"/>
          <w:i/>
          <w:color w:val="282828"/>
          <w:szCs w:val="24"/>
        </w:rPr>
        <w:t>.</w:t>
      </w:r>
    </w:p>
    <w:p w:rsidR="00932075" w:rsidRPr="00992088" w:rsidRDefault="00932075" w:rsidP="00A200C2">
      <w:pPr>
        <w:autoSpaceDE w:val="0"/>
        <w:autoSpaceDN w:val="0"/>
        <w:adjustRightInd w:val="0"/>
        <w:rPr>
          <w:rFonts w:ascii="Palatino Linotype" w:hAnsi="Palatino Linotype" w:cs="CIDFont+F3"/>
          <w:i/>
          <w:color w:val="282828"/>
          <w:szCs w:val="24"/>
        </w:rPr>
      </w:pPr>
    </w:p>
    <w:p w:rsidR="00F81007" w:rsidRPr="00992088" w:rsidRDefault="00F81007"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El 16 de mayo </w:t>
      </w:r>
      <w:r w:rsidR="00932075" w:rsidRPr="00992088">
        <w:rPr>
          <w:rFonts w:ascii="Palatino Linotype" w:hAnsi="Palatino Linotype" w:cs="CIDFont+F3"/>
          <w:i/>
          <w:color w:val="282828"/>
          <w:szCs w:val="24"/>
        </w:rPr>
        <w:t xml:space="preserve">de 1981 </w:t>
      </w:r>
      <w:r w:rsidRPr="00992088">
        <w:rPr>
          <w:rFonts w:ascii="Palatino Linotype" w:hAnsi="Palatino Linotype" w:cs="CIDFont+F3"/>
          <w:i/>
          <w:color w:val="282828"/>
          <w:szCs w:val="24"/>
        </w:rPr>
        <w:t>se publicaron las conclusiones de la Comisión de Expertos, conocidas como el “Informe Enterría”, en el que se afirmaba que</w:t>
      </w:r>
      <w:r w:rsidR="000B18B7" w:rsidRPr="00992088">
        <w:rPr>
          <w:rFonts w:ascii="Palatino Linotype" w:hAnsi="Palatino Linotype" w:cs="CIDFont+F3"/>
          <w:i/>
          <w:color w:val="282828"/>
          <w:szCs w:val="24"/>
        </w:rPr>
        <w:t xml:space="preserve"> </w:t>
      </w:r>
      <w:r w:rsidRPr="00992088">
        <w:rPr>
          <w:rFonts w:ascii="Palatino Linotype" w:hAnsi="Palatino Linotype" w:cs="CIDFont+F3"/>
          <w:i/>
          <w:color w:val="282828"/>
          <w:szCs w:val="24"/>
        </w:rPr>
        <w:t xml:space="preserve">“la condición </w:t>
      </w:r>
      <w:r w:rsidRPr="00992088">
        <w:rPr>
          <w:rFonts w:ascii="Palatino Linotype" w:hAnsi="Palatino Linotype" w:cs="CIDFont+F3"/>
          <w:i/>
          <w:color w:val="282828"/>
          <w:szCs w:val="24"/>
          <w:u w:val="single"/>
        </w:rPr>
        <w:t xml:space="preserve">de provincia histórica </w:t>
      </w:r>
      <w:r w:rsidRPr="00992088">
        <w:rPr>
          <w:rFonts w:ascii="Palatino Linotype" w:hAnsi="Palatino Linotype" w:cs="CIDFont+F3"/>
          <w:i/>
          <w:color w:val="282828"/>
          <w:szCs w:val="24"/>
        </w:rPr>
        <w:t>no puede ser confundida con un pasado histórico más o menos relevante, sino que debe contar con una tradición histórica de singularidad regional institucionalizada”, recomendando que las comunidades autónomas debían tener la suficiente solidez en dimensión, població</w:t>
      </w:r>
      <w:r w:rsidR="000B18B7" w:rsidRPr="00992088">
        <w:rPr>
          <w:rFonts w:ascii="Palatino Linotype" w:hAnsi="Palatino Linotype" w:cs="CIDFont+F3"/>
          <w:i/>
          <w:color w:val="282828"/>
          <w:szCs w:val="24"/>
        </w:rPr>
        <w:t xml:space="preserve">n y recursos para sustentar los </w:t>
      </w:r>
      <w:r w:rsidRPr="00992088">
        <w:rPr>
          <w:rFonts w:ascii="Palatino Linotype" w:hAnsi="Palatino Linotype" w:cs="CIDFont+F3"/>
          <w:i/>
          <w:color w:val="282828"/>
          <w:szCs w:val="24"/>
        </w:rPr>
        <w:t>servicios que deberían ofertar. En la práctica, el informe v</w:t>
      </w:r>
      <w:r w:rsidR="000B18B7" w:rsidRPr="00992088">
        <w:rPr>
          <w:rFonts w:ascii="Palatino Linotype" w:hAnsi="Palatino Linotype" w:cs="CIDFont+F3"/>
          <w:i/>
          <w:color w:val="282828"/>
          <w:szCs w:val="24"/>
        </w:rPr>
        <w:t xml:space="preserve">enía a cuestionar la viabilidad </w:t>
      </w:r>
      <w:r w:rsidRPr="00992088">
        <w:rPr>
          <w:rFonts w:ascii="Palatino Linotype" w:hAnsi="Palatino Linotype" w:cs="CIDFont+F3"/>
          <w:i/>
          <w:color w:val="282828"/>
          <w:szCs w:val="24"/>
        </w:rPr>
        <w:t xml:space="preserve">de las autonomías </w:t>
      </w:r>
      <w:proofErr w:type="spellStart"/>
      <w:r w:rsidRPr="00992088">
        <w:rPr>
          <w:rFonts w:ascii="Palatino Linotype" w:hAnsi="Palatino Linotype" w:cs="CIDFont+F3"/>
          <w:i/>
          <w:color w:val="282828"/>
          <w:szCs w:val="24"/>
        </w:rPr>
        <w:t>uniprovinciales</w:t>
      </w:r>
      <w:proofErr w:type="spellEnd"/>
      <w:r w:rsidR="000B18B7" w:rsidRPr="00992088">
        <w:rPr>
          <w:rFonts w:ascii="Palatino Linotype" w:hAnsi="Palatino Linotype" w:cs="CIDFont+F3"/>
          <w:i/>
          <w:color w:val="282828"/>
          <w:szCs w:val="24"/>
        </w:rPr>
        <w:t>, que reiteramos por enésima vez, no es lo que solicitamos</w:t>
      </w:r>
      <w:r w:rsidRPr="00992088">
        <w:rPr>
          <w:rFonts w:ascii="Palatino Linotype" w:hAnsi="Palatino Linotype" w:cs="CIDFont+F3"/>
          <w:i/>
          <w:color w:val="282828"/>
          <w:szCs w:val="24"/>
        </w:rPr>
        <w:t>.</w:t>
      </w:r>
      <w:r w:rsidR="000B18B7" w:rsidRPr="00992088">
        <w:rPr>
          <w:rFonts w:ascii="Palatino Linotype" w:hAnsi="Palatino Linotype" w:cs="CIDFont+F3"/>
          <w:i/>
          <w:color w:val="282828"/>
          <w:szCs w:val="24"/>
        </w:rPr>
        <w:t xml:space="preserve"> El</w:t>
      </w:r>
      <w:r w:rsidRPr="00992088">
        <w:rPr>
          <w:rFonts w:ascii="Palatino Linotype" w:hAnsi="Palatino Linotype" w:cs="CIDFont+F3"/>
          <w:i/>
          <w:color w:val="282828"/>
          <w:szCs w:val="24"/>
        </w:rPr>
        <w:t xml:space="preserve"> Informe de la Comisión de Expertos sobre Autonomías</w:t>
      </w:r>
      <w:r w:rsidR="000B18B7" w:rsidRPr="00992088">
        <w:rPr>
          <w:rFonts w:ascii="Palatino Linotype" w:hAnsi="Palatino Linotype" w:cs="CIDFont+F3"/>
          <w:i/>
          <w:color w:val="282828"/>
          <w:szCs w:val="24"/>
        </w:rPr>
        <w:t xml:space="preserve">, se puede ver en </w:t>
      </w:r>
      <w:hyperlink r:id="rId6" w:history="1">
        <w:r w:rsidR="00BB2483" w:rsidRPr="00992088">
          <w:rPr>
            <w:rStyle w:val="Hipervnculo"/>
            <w:rFonts w:ascii="Palatino Linotype" w:hAnsi="Palatino Linotype" w:cs="CIDFont+F3"/>
            <w:i/>
            <w:szCs w:val="24"/>
          </w:rPr>
          <w:t>http://www.mpr.gob.es/servicios2/publicaciones/vol32/pag_04.html</w:t>
        </w:r>
      </w:hyperlink>
      <w:r w:rsidRPr="00992088">
        <w:rPr>
          <w:rFonts w:ascii="Palatino Linotype" w:hAnsi="Palatino Linotype" w:cs="CIDFont+F3"/>
          <w:i/>
          <w:color w:val="282828"/>
          <w:szCs w:val="24"/>
        </w:rPr>
        <w:t xml:space="preserve">. </w:t>
      </w:r>
      <w:r w:rsidR="00BB2483" w:rsidRPr="00992088">
        <w:rPr>
          <w:rFonts w:ascii="Palatino Linotype" w:hAnsi="Palatino Linotype" w:cs="CIDFont+F3"/>
          <w:i/>
          <w:color w:val="282828"/>
          <w:szCs w:val="24"/>
        </w:rPr>
        <w:t>Es significativo el título</w:t>
      </w:r>
      <w:r w:rsidR="00C46756" w:rsidRPr="00992088">
        <w:rPr>
          <w:rFonts w:ascii="Palatino Linotype" w:hAnsi="Palatino Linotype" w:cs="CIDFont+F3"/>
          <w:i/>
          <w:color w:val="282828"/>
          <w:szCs w:val="24"/>
        </w:rPr>
        <w:t xml:space="preserve"> del su</w:t>
      </w:r>
      <w:r w:rsidR="00B9264E" w:rsidRPr="00992088">
        <w:rPr>
          <w:rFonts w:ascii="Palatino Linotype" w:hAnsi="Palatino Linotype" w:cs="CIDFont+F3"/>
          <w:i/>
          <w:color w:val="282828"/>
          <w:szCs w:val="24"/>
        </w:rPr>
        <w:t xml:space="preserve"> apartado</w:t>
      </w:r>
      <w:r w:rsidR="00C46756" w:rsidRPr="00992088">
        <w:rPr>
          <w:rFonts w:ascii="Palatino Linotype" w:hAnsi="Palatino Linotype" w:cs="CIDFont+F3"/>
          <w:i/>
          <w:color w:val="282828"/>
          <w:szCs w:val="24"/>
        </w:rPr>
        <w:t xml:space="preserve"> IV. CONTENIDO </w:t>
      </w:r>
      <w:r w:rsidR="00C46756" w:rsidRPr="00992088">
        <w:rPr>
          <w:rFonts w:ascii="Palatino Linotype" w:hAnsi="Palatino Linotype" w:cs="CIDFont+F3"/>
          <w:i/>
          <w:color w:val="282828"/>
          <w:szCs w:val="24"/>
          <w:u w:val="single"/>
        </w:rPr>
        <w:t>DE UNA POSIBLE</w:t>
      </w:r>
      <w:r w:rsidR="00C46756" w:rsidRPr="00992088">
        <w:rPr>
          <w:rFonts w:ascii="Palatino Linotype" w:hAnsi="Palatino Linotype" w:cs="CIDFont+F3"/>
          <w:i/>
          <w:color w:val="282828"/>
          <w:szCs w:val="24"/>
        </w:rPr>
        <w:t xml:space="preserve"> LEY ORGÁNICA DE ORDENACIÓN DEL PROCESO AUTONÓMICO</w:t>
      </w:r>
    </w:p>
    <w:p w:rsidR="00F81007" w:rsidRPr="00992088" w:rsidRDefault="000B18B7"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Dicho informe terminó en papel mojado, hasta el punto que en Cantabria, a quien se pretendía negar el acceso a la autonomía, encontró una oposición frontal de municipios y </w:t>
      </w:r>
      <w:r w:rsidR="00BB2483" w:rsidRPr="00992088">
        <w:rPr>
          <w:rFonts w:ascii="Palatino Linotype" w:hAnsi="Palatino Linotype" w:cs="CIDFont+F3"/>
          <w:i/>
          <w:color w:val="282828"/>
          <w:szCs w:val="24"/>
        </w:rPr>
        <w:t>Diputación</w:t>
      </w:r>
      <w:r w:rsidRPr="00992088">
        <w:rPr>
          <w:rFonts w:ascii="Palatino Linotype" w:hAnsi="Palatino Linotype" w:cs="CIDFont+F3"/>
          <w:i/>
          <w:color w:val="282828"/>
          <w:szCs w:val="24"/>
        </w:rPr>
        <w:t xml:space="preserve">, quienes remitieron, después de un largo proceso de adhesiones </w:t>
      </w:r>
      <w:r w:rsidR="00F81007" w:rsidRPr="00992088">
        <w:rPr>
          <w:rFonts w:ascii="Palatino Linotype" w:hAnsi="Palatino Linotype" w:cs="CIDFont+F3"/>
          <w:i/>
          <w:color w:val="282828"/>
          <w:szCs w:val="24"/>
        </w:rPr>
        <w:t>a la reivindicación autonomista</w:t>
      </w:r>
      <w:r w:rsidRPr="00992088">
        <w:rPr>
          <w:rFonts w:ascii="Palatino Linotype" w:hAnsi="Palatino Linotype" w:cs="CIDFont+F3"/>
          <w:i/>
          <w:color w:val="282828"/>
          <w:szCs w:val="24"/>
        </w:rPr>
        <w:t>, el</w:t>
      </w:r>
      <w:r w:rsidR="00F81007" w:rsidRPr="00992088">
        <w:rPr>
          <w:rFonts w:ascii="Palatino Linotype" w:hAnsi="Palatino Linotype" w:cs="CIDFont+F3"/>
          <w:i/>
          <w:color w:val="282828"/>
          <w:szCs w:val="24"/>
        </w:rPr>
        <w:t xml:space="preserve"> 6 de junio</w:t>
      </w:r>
      <w:r w:rsidR="00BB2483" w:rsidRPr="00992088">
        <w:rPr>
          <w:rFonts w:ascii="Palatino Linotype" w:hAnsi="Palatino Linotype" w:cs="CIDFont+F3"/>
          <w:i/>
          <w:color w:val="282828"/>
          <w:szCs w:val="24"/>
        </w:rPr>
        <w:t xml:space="preserve"> de 1981</w:t>
      </w:r>
      <w:r w:rsidR="00F81007" w:rsidRPr="00992088">
        <w:rPr>
          <w:rFonts w:ascii="Palatino Linotype" w:hAnsi="Palatino Linotype" w:cs="CIDFont+F3"/>
          <w:i/>
          <w:color w:val="282828"/>
          <w:szCs w:val="24"/>
        </w:rPr>
        <w:t xml:space="preserve"> una moción al presidente del Congreso reafirmando su</w:t>
      </w:r>
      <w:r w:rsidRPr="00992088">
        <w:rPr>
          <w:rFonts w:ascii="Palatino Linotype" w:hAnsi="Palatino Linotype" w:cs="CIDFont+F3"/>
          <w:i/>
          <w:color w:val="282828"/>
          <w:szCs w:val="24"/>
        </w:rPr>
        <w:t xml:space="preserve"> </w:t>
      </w:r>
      <w:r w:rsidR="00F81007" w:rsidRPr="00992088">
        <w:rPr>
          <w:rFonts w:ascii="Palatino Linotype" w:hAnsi="Palatino Linotype" w:cs="CIDFont+F3"/>
          <w:i/>
          <w:color w:val="282828"/>
          <w:szCs w:val="24"/>
        </w:rPr>
        <w:t xml:space="preserve">solicitud de autonomía. </w:t>
      </w:r>
    </w:p>
    <w:p w:rsidR="00F81007" w:rsidRPr="00992088" w:rsidRDefault="00F81007"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Entre tanto, el proceso administrativo continu</w:t>
      </w:r>
      <w:r w:rsidR="000B18B7" w:rsidRPr="00992088">
        <w:rPr>
          <w:rFonts w:ascii="Palatino Linotype" w:hAnsi="Palatino Linotype" w:cs="CIDFont+F3"/>
          <w:i/>
          <w:color w:val="282828"/>
          <w:szCs w:val="24"/>
        </w:rPr>
        <w:t xml:space="preserve">aba su curso: el 25 de junio la </w:t>
      </w:r>
      <w:r w:rsidRPr="00992088">
        <w:rPr>
          <w:rFonts w:ascii="Palatino Linotype" w:hAnsi="Palatino Linotype" w:cs="CIDFont+F3"/>
          <w:i/>
          <w:color w:val="282828"/>
          <w:szCs w:val="24"/>
        </w:rPr>
        <w:t>comisión constitucional del Congreso lo dictaminaba, y el 14 de octubre el pleno de la</w:t>
      </w:r>
      <w:r w:rsidR="00455537">
        <w:rPr>
          <w:rFonts w:ascii="Palatino Linotype" w:hAnsi="Palatino Linotype" w:cs="CIDFont+F3"/>
          <w:i/>
          <w:color w:val="282828"/>
          <w:szCs w:val="24"/>
        </w:rPr>
        <w:t xml:space="preserve"> </w:t>
      </w:r>
      <w:r w:rsidRPr="00992088">
        <w:rPr>
          <w:rFonts w:ascii="Palatino Linotype" w:hAnsi="Palatino Linotype" w:cs="CIDFont+F3"/>
          <w:i/>
          <w:color w:val="282828"/>
          <w:szCs w:val="24"/>
        </w:rPr>
        <w:t>Cámara Baja lo aprobaba con 235 votos a favor, 2 en contra y 23 abstenciones. El 2 de</w:t>
      </w:r>
      <w:r w:rsidR="000B18B7" w:rsidRPr="00992088">
        <w:rPr>
          <w:rFonts w:ascii="Palatino Linotype" w:hAnsi="Palatino Linotype" w:cs="CIDFont+F3"/>
          <w:i/>
          <w:color w:val="282828"/>
          <w:szCs w:val="24"/>
        </w:rPr>
        <w:t xml:space="preserve"> </w:t>
      </w:r>
      <w:r w:rsidRPr="00992088">
        <w:rPr>
          <w:rFonts w:ascii="Palatino Linotype" w:hAnsi="Palatino Linotype" w:cs="CIDFont+F3"/>
          <w:i/>
          <w:color w:val="282828"/>
          <w:szCs w:val="24"/>
        </w:rPr>
        <w:t xml:space="preserve">diciembre </w:t>
      </w:r>
      <w:r w:rsidRPr="00992088">
        <w:rPr>
          <w:rFonts w:ascii="Palatino Linotype" w:hAnsi="Palatino Linotype" w:cs="CIDFont+F3"/>
          <w:i/>
          <w:color w:val="282828"/>
          <w:szCs w:val="24"/>
        </w:rPr>
        <w:lastRenderedPageBreak/>
        <w:t>de 1981 era aprobado por unanimidad en el Senado, el 30 el rey firmaba la</w:t>
      </w:r>
      <w:r w:rsidR="000B18B7" w:rsidRPr="00992088">
        <w:rPr>
          <w:rFonts w:ascii="Palatino Linotype" w:hAnsi="Palatino Linotype" w:cs="CIDFont+F3"/>
          <w:i/>
          <w:color w:val="282828"/>
          <w:szCs w:val="24"/>
        </w:rPr>
        <w:t xml:space="preserve"> </w:t>
      </w:r>
      <w:r w:rsidRPr="00992088">
        <w:rPr>
          <w:rFonts w:ascii="Palatino Linotype" w:hAnsi="Palatino Linotype" w:cs="CIDFont+F3"/>
          <w:i/>
          <w:color w:val="282828"/>
          <w:szCs w:val="24"/>
        </w:rPr>
        <w:t>Ley Orgánica y el 11 de enero de 1982 se publicaba en el BOE</w:t>
      </w:r>
      <w:r w:rsidR="00455537">
        <w:rPr>
          <w:rFonts w:ascii="Palatino Linotype" w:hAnsi="Palatino Linotype" w:cs="CIDFont+F3"/>
          <w:i/>
          <w:color w:val="282828"/>
          <w:szCs w:val="24"/>
        </w:rPr>
        <w:t xml:space="preserve"> u</w:t>
      </w:r>
      <w:r w:rsidRPr="00992088">
        <w:rPr>
          <w:rFonts w:ascii="Palatino Linotype" w:hAnsi="Palatino Linotype" w:cs="CIDFont+F3"/>
          <w:i/>
          <w:color w:val="282828"/>
          <w:szCs w:val="24"/>
        </w:rPr>
        <w:t>n texto que</w:t>
      </w:r>
      <w:r w:rsidR="000B18B7" w:rsidRPr="00992088">
        <w:rPr>
          <w:rFonts w:ascii="Palatino Linotype" w:hAnsi="Palatino Linotype" w:cs="CIDFont+F3"/>
          <w:i/>
          <w:color w:val="282828"/>
          <w:szCs w:val="24"/>
        </w:rPr>
        <w:t xml:space="preserve"> </w:t>
      </w:r>
      <w:r w:rsidRPr="00992088">
        <w:rPr>
          <w:rFonts w:ascii="Palatino Linotype" w:hAnsi="Palatino Linotype" w:cs="CIDFont+F3"/>
          <w:i/>
          <w:color w:val="282828"/>
          <w:szCs w:val="24"/>
        </w:rPr>
        <w:t>constaba de seis Títulos, una Disposición Adicional, on</w:t>
      </w:r>
      <w:r w:rsidR="000B18B7" w:rsidRPr="00992088">
        <w:rPr>
          <w:rFonts w:ascii="Palatino Linotype" w:hAnsi="Palatino Linotype" w:cs="CIDFont+F3"/>
          <w:i/>
          <w:color w:val="282828"/>
          <w:szCs w:val="24"/>
        </w:rPr>
        <w:t xml:space="preserve">ce Disposiciones Transitorias y </w:t>
      </w:r>
      <w:r w:rsidRPr="00992088">
        <w:rPr>
          <w:rFonts w:ascii="Palatino Linotype" w:hAnsi="Palatino Linotype" w:cs="CIDFont+F3"/>
          <w:i/>
          <w:color w:val="282828"/>
          <w:szCs w:val="24"/>
        </w:rPr>
        <w:t>una Final.</w:t>
      </w:r>
    </w:p>
    <w:p w:rsidR="00B9264E" w:rsidRPr="00992088" w:rsidRDefault="00B9264E"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No obstante, destacamos de dicho informe los siguientes párrafos: “El artículo 144 permite intervenir a las Cortes Generales, mediante Ley orgánica, </w:t>
      </w:r>
      <w:r w:rsidRPr="00992088">
        <w:rPr>
          <w:rFonts w:ascii="Palatino Linotype" w:hAnsi="Palatino Linotype" w:cs="CIDFont+F3"/>
          <w:i/>
          <w:color w:val="282828"/>
          <w:szCs w:val="24"/>
          <w:u w:val="single"/>
        </w:rPr>
        <w:t>por motivos de interés nacional</w:t>
      </w:r>
      <w:r w:rsidRPr="00992088">
        <w:rPr>
          <w:rFonts w:ascii="Palatino Linotype" w:hAnsi="Palatino Linotype" w:cs="CIDFont+F3"/>
          <w:i/>
          <w:color w:val="282828"/>
          <w:szCs w:val="24"/>
        </w:rPr>
        <w:t>, en el proceso autonómico en tres supuestos muy distintos. Al primero de ellos, regulado en la letra a), se prestará atención singular más adelante. El segundo, previsto en la letra b), contempla supuestos muy específicos: uno de ellos regulado más detalladamente en la disposición transitoria quinta, se refiere a las ciudades de Ceuta y Melilla, y el otro da cabida constitucional en el Estado de las autonomías a territorios no integrados en la organización provincial, por lo que, excluidas Ceuta y Melilla, está claro que no están por el momento sujetos a la soberanía española (Gibraltar). El tercer supuesto, incluido en la letra c), permite a las Cortes sustituir la iniciativa de las Corporaciones locales a que se refiere el apartado 2 del artículo 143”.</w:t>
      </w:r>
    </w:p>
    <w:p w:rsidR="00BB2483" w:rsidRPr="00992088" w:rsidRDefault="00BB2483" w:rsidP="00A200C2">
      <w:pPr>
        <w:autoSpaceDE w:val="0"/>
        <w:autoSpaceDN w:val="0"/>
        <w:adjustRightInd w:val="0"/>
        <w:rPr>
          <w:rFonts w:ascii="Palatino Linotype" w:hAnsi="Palatino Linotype" w:cs="CIDFont+F3"/>
          <w:i/>
          <w:color w:val="282828"/>
          <w:szCs w:val="24"/>
        </w:rPr>
      </w:pPr>
    </w:p>
    <w:p w:rsidR="00B9264E" w:rsidRPr="00992088" w:rsidRDefault="00BB2483"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w:t>
      </w:r>
      <w:r w:rsidR="00B9264E" w:rsidRPr="00992088">
        <w:rPr>
          <w:rFonts w:ascii="Palatino Linotype" w:hAnsi="Palatino Linotype" w:cs="CIDFont+F3"/>
          <w:i/>
          <w:color w:val="282828"/>
          <w:szCs w:val="24"/>
        </w:rPr>
        <w:t>La Comisión entiende que la Ley orgánica de ordenación del proceso autonómico debería fijar los criterios generales en base a los cuales las Cortes han de discernir cuando procede o no la autorización a que se refiere el artículo 144 a). La fijación previa y general de estos criterios serviría de orientación a las aspiraciones autonomistas de las distintas fuerzas políticas en relación con ciertas provincias y, por otra parte, evitaría la tensión singularizada en orden a otorgar o no la autorización que comentamos entre las Cortes y una provincia concreta</w:t>
      </w:r>
      <w:r w:rsidRPr="00992088">
        <w:rPr>
          <w:rFonts w:ascii="Palatino Linotype" w:hAnsi="Palatino Linotype" w:cs="CIDFont+F3"/>
          <w:i/>
          <w:color w:val="282828"/>
          <w:szCs w:val="24"/>
        </w:rPr>
        <w:t>”</w:t>
      </w:r>
      <w:r w:rsidR="00B9264E" w:rsidRPr="00992088">
        <w:rPr>
          <w:rFonts w:ascii="Palatino Linotype" w:hAnsi="Palatino Linotype" w:cs="CIDFont+F3"/>
          <w:i/>
          <w:color w:val="282828"/>
          <w:szCs w:val="24"/>
        </w:rPr>
        <w:t>.</w:t>
      </w:r>
    </w:p>
    <w:p w:rsidR="00B9264E" w:rsidRPr="00992088" w:rsidRDefault="00B9264E" w:rsidP="00A200C2">
      <w:pPr>
        <w:autoSpaceDE w:val="0"/>
        <w:autoSpaceDN w:val="0"/>
        <w:adjustRightInd w:val="0"/>
        <w:rPr>
          <w:rFonts w:ascii="Palatino Linotype" w:hAnsi="Palatino Linotype" w:cs="CIDFont+F3"/>
          <w:i/>
          <w:color w:val="282828"/>
          <w:szCs w:val="24"/>
        </w:rPr>
      </w:pPr>
    </w:p>
    <w:p w:rsidR="00B9264E" w:rsidRPr="00992088" w:rsidRDefault="00B9264E"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Del desarrollo constitucional que se propone resultará sustancialmente que el reconocimiento de «entidad regional histórica» a un territorio debe administrarse con todo escrúpulo interpretando el concepto con carácter restrictivo. </w:t>
      </w:r>
      <w:r w:rsidRPr="00992088">
        <w:rPr>
          <w:rFonts w:ascii="Palatino Linotype" w:hAnsi="Palatino Linotype" w:cs="CIDFont+F3"/>
          <w:b/>
          <w:i/>
          <w:color w:val="282828"/>
          <w:szCs w:val="24"/>
          <w:u w:val="single"/>
        </w:rPr>
        <w:t>Supuesto que no se aprecie la presencia de la referida circunstancia, se impondrá el trámite de autorización previa por ley orgánica a que se refiere el artículo 144 a).</w:t>
      </w:r>
      <w:r w:rsidRPr="00992088">
        <w:rPr>
          <w:rFonts w:ascii="Palatino Linotype" w:hAnsi="Palatino Linotype" w:cs="CIDFont+F3"/>
          <w:i/>
          <w:color w:val="282828"/>
          <w:szCs w:val="24"/>
        </w:rPr>
        <w:t xml:space="preserve"> Por último, se fijarán con carácter general en la ley de ordenación del proceso autonómico los criterios conforme a los cuales habrá de otorgarse o no la referida autorización.</w:t>
      </w:r>
    </w:p>
    <w:p w:rsidR="009473ED" w:rsidRPr="00992088" w:rsidRDefault="009473ED" w:rsidP="00A200C2">
      <w:pPr>
        <w:autoSpaceDE w:val="0"/>
        <w:autoSpaceDN w:val="0"/>
        <w:adjustRightInd w:val="0"/>
        <w:rPr>
          <w:rFonts w:ascii="Palatino Linotype" w:hAnsi="Palatino Linotype" w:cs="CIDFont+F3"/>
          <w:i/>
          <w:color w:val="282828"/>
          <w:szCs w:val="24"/>
        </w:rPr>
      </w:pPr>
    </w:p>
    <w:p w:rsidR="009473ED" w:rsidRPr="00992088" w:rsidRDefault="009473ED"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Reseñar que los </w:t>
      </w:r>
      <w:r w:rsidR="00455537" w:rsidRPr="00992088">
        <w:rPr>
          <w:rFonts w:ascii="Palatino Linotype" w:hAnsi="Palatino Linotype" w:cs="CIDFont+F3"/>
          <w:i/>
          <w:color w:val="282828"/>
          <w:szCs w:val="24"/>
        </w:rPr>
        <w:t>dictámenes</w:t>
      </w:r>
      <w:r w:rsidRPr="00992088">
        <w:rPr>
          <w:rFonts w:ascii="Palatino Linotype" w:hAnsi="Palatino Linotype" w:cs="CIDFont+F3"/>
          <w:i/>
          <w:color w:val="282828"/>
          <w:szCs w:val="24"/>
        </w:rPr>
        <w:t xml:space="preserve"> que elaboró, entre otros muchos, el catedrático Garcia de Enterría, </w:t>
      </w:r>
      <w:r w:rsidR="00B2322E" w:rsidRPr="00992088">
        <w:rPr>
          <w:rFonts w:ascii="Palatino Linotype" w:hAnsi="Palatino Linotype" w:cs="CIDFont+F3"/>
          <w:i/>
          <w:color w:val="282828"/>
          <w:szCs w:val="24"/>
        </w:rPr>
        <w:t xml:space="preserve">junto a otros expertos </w:t>
      </w:r>
      <w:r w:rsidRPr="00992088">
        <w:rPr>
          <w:rFonts w:ascii="Palatino Linotype" w:hAnsi="Palatino Linotype" w:cs="CIDFont+F3"/>
          <w:i/>
          <w:color w:val="282828"/>
          <w:szCs w:val="24"/>
        </w:rPr>
        <w:t xml:space="preserve">en 1981, figuraban los controvertidos informes sobre "autonomías" y "financiación de las comunidades autónomas", que desempeñaron un papel esencial en las posteriores elaboraciones de la Ley Orgánica para la Armonización del Proceso Autonómico (LOAPA) y de la Ley Orgánica para la Financiación de las Comunidades Autónomas (LOFCA), respectivamente, </w:t>
      </w:r>
      <w:r w:rsidR="00B2322E" w:rsidRPr="00992088">
        <w:rPr>
          <w:rFonts w:ascii="Palatino Linotype" w:hAnsi="Palatino Linotype" w:cs="CIDFont+F3"/>
          <w:i/>
          <w:color w:val="282828"/>
          <w:szCs w:val="24"/>
        </w:rPr>
        <w:t>sin</w:t>
      </w:r>
      <w:r w:rsidRPr="00992088">
        <w:rPr>
          <w:rFonts w:ascii="Palatino Linotype" w:hAnsi="Palatino Linotype" w:cs="CIDFont+F3"/>
          <w:i/>
          <w:color w:val="282828"/>
          <w:szCs w:val="24"/>
        </w:rPr>
        <w:t xml:space="preserve"> que en  la mayoría de los casos se atendier</w:t>
      </w:r>
      <w:r w:rsidR="00B2322E" w:rsidRPr="00992088">
        <w:rPr>
          <w:rFonts w:ascii="Palatino Linotype" w:hAnsi="Palatino Linotype" w:cs="CIDFont+F3"/>
          <w:i/>
          <w:color w:val="282828"/>
          <w:szCs w:val="24"/>
        </w:rPr>
        <w:t>a</w:t>
      </w:r>
      <w:r w:rsidRPr="00992088">
        <w:rPr>
          <w:rFonts w:ascii="Palatino Linotype" w:hAnsi="Palatino Linotype" w:cs="CIDFont+F3"/>
          <w:i/>
          <w:color w:val="282828"/>
          <w:szCs w:val="24"/>
        </w:rPr>
        <w:t>n sus consejos, (</w:t>
      </w:r>
      <w:hyperlink r:id="rId7" w:history="1">
        <w:r w:rsidRPr="00992088">
          <w:rPr>
            <w:rStyle w:val="Hipervnculo"/>
            <w:rFonts w:ascii="Palatino Linotype" w:hAnsi="Palatino Linotype" w:cs="CIDFont+F3"/>
            <w:i/>
            <w:szCs w:val="24"/>
          </w:rPr>
          <w:t>https://hayderecho.com/2012/05/31/el-estado-autonomico-en-el-31-aniversario-del-informe-de-la-comision-de-expertos-sobre-las-autonomias/</w:t>
        </w:r>
      </w:hyperlink>
      <w:r w:rsidRPr="00992088">
        <w:rPr>
          <w:rFonts w:ascii="Palatino Linotype" w:hAnsi="Palatino Linotype" w:cs="CIDFont+F3"/>
          <w:i/>
          <w:color w:val="282828"/>
          <w:szCs w:val="24"/>
        </w:rPr>
        <w:t>)  y e</w:t>
      </w:r>
      <w:r w:rsidR="00B2322E" w:rsidRPr="00992088">
        <w:rPr>
          <w:rFonts w:ascii="Palatino Linotype" w:hAnsi="Palatino Linotype" w:cs="CIDFont+F3"/>
          <w:i/>
          <w:color w:val="282828"/>
          <w:szCs w:val="24"/>
        </w:rPr>
        <w:t>n otros, fue el propio Tribunal C</w:t>
      </w:r>
      <w:r w:rsidRPr="00992088">
        <w:rPr>
          <w:rFonts w:ascii="Palatino Linotype" w:hAnsi="Palatino Linotype" w:cs="CIDFont+F3"/>
          <w:i/>
          <w:color w:val="282828"/>
          <w:szCs w:val="24"/>
        </w:rPr>
        <w:t>onstitucional quien declaró la inconstitucionalidad de numerosos artículos de la primera (</w:t>
      </w:r>
      <w:r w:rsidR="00B2322E" w:rsidRPr="00992088">
        <w:rPr>
          <w:rFonts w:ascii="Palatino Linotype" w:hAnsi="Palatino Linotype" w:cs="CIDFont+F3"/>
          <w:i/>
          <w:color w:val="282828"/>
          <w:szCs w:val="24"/>
        </w:rPr>
        <w:t xml:space="preserve">El 13 de agosto de 1983 el Tribunal Constitucional negó el carácter orgánico y armonizador de la ley, declarando inconstitucionales 14 de los 38 artículos del proyecto de ley), por lo que con la parte que </w:t>
      </w:r>
      <w:r w:rsidR="00B2322E" w:rsidRPr="00992088">
        <w:rPr>
          <w:rFonts w:ascii="Palatino Linotype" w:hAnsi="Palatino Linotype" w:cs="CIDFont+F3"/>
          <w:i/>
          <w:color w:val="282828"/>
          <w:szCs w:val="24"/>
        </w:rPr>
        <w:lastRenderedPageBreak/>
        <w:t>se salvó se aprobó la Ley 12/1983, de 14 de octubre, del Proceso Autonómico, desprovista de carácter armonizador ni orgánico</w:t>
      </w:r>
      <w:r w:rsidR="00D83C68" w:rsidRPr="00992088">
        <w:rPr>
          <w:rFonts w:ascii="Palatino Linotype" w:hAnsi="Palatino Linotype" w:cs="CIDFont+F3"/>
          <w:i/>
          <w:color w:val="282828"/>
          <w:szCs w:val="24"/>
        </w:rPr>
        <w:t>, donde por cierto, en ningún caso declara cerrado la posibilidad de constituir nuevas autonomías, como se explicará más adelante</w:t>
      </w:r>
      <w:r w:rsidR="00B2322E" w:rsidRPr="00992088">
        <w:rPr>
          <w:rFonts w:ascii="Palatino Linotype" w:hAnsi="Palatino Linotype" w:cs="CIDFont+F3"/>
          <w:i/>
          <w:color w:val="282828"/>
          <w:szCs w:val="24"/>
        </w:rPr>
        <w:t>.</w:t>
      </w:r>
    </w:p>
    <w:p w:rsidR="00BB2483" w:rsidRPr="00992088" w:rsidRDefault="00BB2483" w:rsidP="00A200C2">
      <w:pPr>
        <w:autoSpaceDE w:val="0"/>
        <w:autoSpaceDN w:val="0"/>
        <w:adjustRightInd w:val="0"/>
        <w:rPr>
          <w:rFonts w:ascii="Palatino Linotype" w:hAnsi="Palatino Linotype" w:cs="CIDFont+F3"/>
          <w:i/>
          <w:color w:val="282828"/>
          <w:szCs w:val="24"/>
        </w:rPr>
      </w:pPr>
    </w:p>
    <w:p w:rsidR="00BB2483" w:rsidRPr="00992088" w:rsidRDefault="00BB2483"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Queda claro, pues, que el </w:t>
      </w:r>
      <w:r w:rsidR="00B2322E" w:rsidRPr="00992088">
        <w:rPr>
          <w:rFonts w:ascii="Palatino Linotype" w:hAnsi="Palatino Linotype" w:cs="CIDFont+F3"/>
          <w:i/>
          <w:color w:val="282828"/>
          <w:szCs w:val="24"/>
        </w:rPr>
        <w:t>controvertido</w:t>
      </w:r>
      <w:r w:rsidRPr="00992088">
        <w:rPr>
          <w:rFonts w:ascii="Palatino Linotype" w:hAnsi="Palatino Linotype" w:cs="CIDFont+F3"/>
          <w:i/>
          <w:color w:val="282828"/>
          <w:szCs w:val="24"/>
        </w:rPr>
        <w:t xml:space="preserve"> informe al que alude la </w:t>
      </w:r>
      <w:proofErr w:type="spellStart"/>
      <w:r w:rsidRPr="00992088">
        <w:rPr>
          <w:rFonts w:ascii="Palatino Linotype" w:hAnsi="Palatino Linotype" w:cs="CIDFont+F3"/>
          <w:i/>
          <w:color w:val="282828"/>
          <w:szCs w:val="24"/>
        </w:rPr>
        <w:t>alegante</w:t>
      </w:r>
      <w:proofErr w:type="spellEnd"/>
      <w:r w:rsidRPr="00992088">
        <w:rPr>
          <w:rFonts w:ascii="Palatino Linotype" w:hAnsi="Palatino Linotype" w:cs="CIDFont+F3"/>
          <w:i/>
          <w:color w:val="282828"/>
          <w:szCs w:val="24"/>
        </w:rPr>
        <w:t>, establece como método para acceder a la autonomía el procedimiento del articulo 144 a de la CE</w:t>
      </w:r>
      <w:r w:rsidR="00B1246B" w:rsidRPr="00992088">
        <w:rPr>
          <w:rFonts w:ascii="Palatino Linotype" w:hAnsi="Palatino Linotype" w:cs="CIDFont+F3"/>
          <w:i/>
          <w:color w:val="282828"/>
          <w:szCs w:val="24"/>
        </w:rPr>
        <w:t>, especialmente cuando no exista un reconocimiento de entidad regional histórica institucionalizado, hecho que como no es cuestión de controversia en el acuerdo tomado por Ayuntamiento de La Línea de la Concepción, no vamos a rebatir, pero que, sin lugar a dudas, si fuera preciso, se podrían presentar decisiones y acuerdos institucionales que antes, durante y después de 18</w:t>
      </w:r>
      <w:r w:rsidR="00BF593C">
        <w:rPr>
          <w:rFonts w:ascii="Palatino Linotype" w:hAnsi="Palatino Linotype" w:cs="CIDFont+F3"/>
          <w:i/>
          <w:color w:val="282828"/>
          <w:szCs w:val="24"/>
        </w:rPr>
        <w:t>7</w:t>
      </w:r>
      <w:r w:rsidR="00B1246B" w:rsidRPr="00992088">
        <w:rPr>
          <w:rFonts w:ascii="Palatino Linotype" w:hAnsi="Palatino Linotype" w:cs="CIDFont+F3"/>
          <w:i/>
          <w:color w:val="282828"/>
          <w:szCs w:val="24"/>
        </w:rPr>
        <w:t xml:space="preserve">0, han condicionado, y en algunos casos, reconocido la singularidad de La Línea de Concepción. </w:t>
      </w:r>
    </w:p>
    <w:p w:rsidR="00AA369C" w:rsidRPr="00A200C2" w:rsidRDefault="00AA369C" w:rsidP="00A200C2">
      <w:pPr>
        <w:autoSpaceDE w:val="0"/>
        <w:autoSpaceDN w:val="0"/>
        <w:adjustRightInd w:val="0"/>
        <w:rPr>
          <w:rFonts w:ascii="CIDFont+F3" w:hAnsi="CIDFont+F3" w:cs="CIDFont+F3"/>
          <w:color w:val="282828"/>
          <w:szCs w:val="24"/>
        </w:rPr>
      </w:pPr>
    </w:p>
    <w:p w:rsidR="00AA369C" w:rsidRPr="00992088" w:rsidRDefault="00463A1E" w:rsidP="00A200C2">
      <w:pPr>
        <w:autoSpaceDE w:val="0"/>
        <w:autoSpaceDN w:val="0"/>
        <w:adjustRightInd w:val="0"/>
        <w:rPr>
          <w:rFonts w:cs="Arial"/>
          <w:color w:val="282828"/>
          <w:szCs w:val="24"/>
        </w:rPr>
      </w:pPr>
      <w:r w:rsidRPr="00992088">
        <w:rPr>
          <w:rFonts w:cs="Arial"/>
          <w:color w:val="282828"/>
          <w:szCs w:val="24"/>
        </w:rPr>
        <w:t>…</w:t>
      </w:r>
      <w:r w:rsidR="00AA369C" w:rsidRPr="00992088">
        <w:rPr>
          <w:rFonts w:cs="Arial"/>
          <w:color w:val="282828"/>
          <w:szCs w:val="24"/>
        </w:rPr>
        <w:t>responden a una clara búsqueda de definir un modelo de crecimiento económico</w:t>
      </w:r>
      <w:r w:rsidR="00932075" w:rsidRPr="00992088">
        <w:rPr>
          <w:rFonts w:cs="Arial"/>
          <w:color w:val="282828"/>
          <w:szCs w:val="24"/>
        </w:rPr>
        <w:t xml:space="preserve"> </w:t>
      </w:r>
      <w:r w:rsidR="00AA369C" w:rsidRPr="00992088">
        <w:rPr>
          <w:rFonts w:cs="Arial"/>
          <w:color w:val="282828"/>
          <w:szCs w:val="24"/>
        </w:rPr>
        <w:t>diferente. Así a lo largo de toda la documental que acompaña se hace constantemente referencia</w:t>
      </w:r>
      <w:r w:rsidR="00A4150D" w:rsidRPr="00992088">
        <w:rPr>
          <w:rFonts w:cs="Arial"/>
          <w:color w:val="282828"/>
          <w:szCs w:val="24"/>
        </w:rPr>
        <w:t xml:space="preserve"> </w:t>
      </w:r>
      <w:r w:rsidR="00AA369C" w:rsidRPr="00992088">
        <w:rPr>
          <w:rFonts w:cs="Arial"/>
          <w:color w:val="282828"/>
          <w:szCs w:val="24"/>
        </w:rPr>
        <w:t xml:space="preserve">a datos y circunstancias que acucian al municipio en la actualidad tales como el </w:t>
      </w:r>
      <w:proofErr w:type="spellStart"/>
      <w:r w:rsidR="00AA369C" w:rsidRPr="00992088">
        <w:rPr>
          <w:rFonts w:cs="Arial"/>
          <w:color w:val="282828"/>
          <w:szCs w:val="24"/>
        </w:rPr>
        <w:t>Brexit</w:t>
      </w:r>
      <w:proofErr w:type="spellEnd"/>
    </w:p>
    <w:p w:rsidR="00D972BC" w:rsidRPr="00A200C2" w:rsidRDefault="00D972BC" w:rsidP="00A200C2">
      <w:pPr>
        <w:autoSpaceDE w:val="0"/>
        <w:autoSpaceDN w:val="0"/>
        <w:adjustRightInd w:val="0"/>
        <w:rPr>
          <w:rFonts w:ascii="CIDFont+F3" w:hAnsi="CIDFont+F3" w:cs="CIDFont+F3"/>
          <w:color w:val="282828"/>
          <w:szCs w:val="24"/>
        </w:rPr>
      </w:pPr>
    </w:p>
    <w:p w:rsidR="000C11B0" w:rsidRPr="00455537" w:rsidRDefault="000C11B0" w:rsidP="00112257">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Tanto la doctrina como los tribunales</w:t>
      </w:r>
      <w:r w:rsidR="00B15D60" w:rsidRPr="00455537">
        <w:rPr>
          <w:rFonts w:ascii="Palatino Linotype" w:hAnsi="Palatino Linotype" w:cs="CIDFont+F3"/>
          <w:i/>
          <w:szCs w:val="24"/>
        </w:rPr>
        <w:t xml:space="preserve"> españoles</w:t>
      </w:r>
      <w:r w:rsidRPr="00455537">
        <w:rPr>
          <w:rFonts w:ascii="Palatino Linotype" w:hAnsi="Palatino Linotype" w:cs="CIDFont+F3"/>
          <w:i/>
          <w:szCs w:val="24"/>
        </w:rPr>
        <w:t xml:space="preserve"> coinciden en que el artículo 144 de la Constitución, se redactó en 1978 teniendo en mente a Gibraltar</w:t>
      </w:r>
      <w:r w:rsidR="00BF593C">
        <w:rPr>
          <w:rFonts w:ascii="Palatino Linotype" w:hAnsi="Palatino Linotype" w:cs="CIDFont+F3"/>
          <w:i/>
          <w:szCs w:val="24"/>
        </w:rPr>
        <w:t>, tal como se acredita en los boletines de sesiones de</w:t>
      </w:r>
      <w:r w:rsidR="00112257">
        <w:rPr>
          <w:rFonts w:ascii="Palatino Linotype" w:hAnsi="Palatino Linotype" w:cs="CIDFont+F3"/>
          <w:i/>
          <w:szCs w:val="24"/>
        </w:rPr>
        <w:t>l Congreso</w:t>
      </w:r>
      <w:r w:rsidR="00BF593C">
        <w:rPr>
          <w:rFonts w:ascii="Palatino Linotype" w:hAnsi="Palatino Linotype" w:cs="CIDFont+F3"/>
          <w:i/>
          <w:szCs w:val="24"/>
        </w:rPr>
        <w:t xml:space="preserve"> y Senado, y concretamente en </w:t>
      </w:r>
      <w:r w:rsidR="00112257">
        <w:rPr>
          <w:rFonts w:ascii="Palatino Linotype" w:hAnsi="Palatino Linotype" w:cs="CIDFont+F3"/>
          <w:i/>
          <w:szCs w:val="24"/>
        </w:rPr>
        <w:t xml:space="preserve">el </w:t>
      </w:r>
      <w:r w:rsidR="00112257" w:rsidRPr="00112257">
        <w:rPr>
          <w:rFonts w:ascii="Palatino Linotype" w:hAnsi="Palatino Linotype" w:cs="CIDFont+F3"/>
          <w:i/>
          <w:szCs w:val="24"/>
        </w:rPr>
        <w:t>DIARIO DE SESIONES DEL</w:t>
      </w:r>
      <w:r w:rsidR="00112257">
        <w:rPr>
          <w:rFonts w:ascii="Palatino Linotype" w:hAnsi="Palatino Linotype" w:cs="CIDFont+F3"/>
          <w:i/>
          <w:szCs w:val="24"/>
        </w:rPr>
        <w:t xml:space="preserve"> </w:t>
      </w:r>
      <w:r w:rsidR="00112257" w:rsidRPr="00112257">
        <w:rPr>
          <w:rFonts w:ascii="Palatino Linotype" w:hAnsi="Palatino Linotype" w:cs="CIDFont+F3"/>
          <w:i/>
          <w:szCs w:val="24"/>
        </w:rPr>
        <w:t>CONGRESO DE LOS DIPUTADOS</w:t>
      </w:r>
      <w:r w:rsidR="00112257">
        <w:rPr>
          <w:rFonts w:ascii="Palatino Linotype" w:hAnsi="Palatino Linotype" w:cs="CIDFont+F3"/>
          <w:i/>
          <w:szCs w:val="24"/>
        </w:rPr>
        <w:t xml:space="preserve">, Comisión de asuntos constitucionales y libertades públicas, </w:t>
      </w:r>
      <w:r w:rsidR="00112257" w:rsidRPr="00112257">
        <w:rPr>
          <w:rFonts w:ascii="Palatino Linotype" w:hAnsi="Palatino Linotype" w:cs="CIDFont+F3"/>
          <w:i/>
          <w:szCs w:val="24"/>
        </w:rPr>
        <w:t>celebrada el martes, 20 de junio de 1978</w:t>
      </w:r>
      <w:r w:rsidR="00112257">
        <w:rPr>
          <w:rFonts w:ascii="Palatino Linotype" w:hAnsi="Palatino Linotype" w:cs="CIDFont+F3"/>
          <w:i/>
          <w:szCs w:val="24"/>
        </w:rPr>
        <w:t>, página 3528, donde, cita literal, consta: “</w:t>
      </w:r>
      <w:r w:rsidR="00112257" w:rsidRPr="00112257">
        <w:rPr>
          <w:rFonts w:ascii="Palatino Linotype" w:hAnsi="Palatino Linotype" w:cs="CIDFont+F3"/>
          <w:i/>
          <w:szCs w:val="24"/>
        </w:rPr>
        <w:t>abriendo la p</w:t>
      </w:r>
      <w:r w:rsidR="00112257">
        <w:rPr>
          <w:rFonts w:ascii="Palatino Linotype" w:hAnsi="Palatino Linotype" w:cs="CIDFont+F3"/>
          <w:i/>
          <w:szCs w:val="24"/>
        </w:rPr>
        <w:t>uerta del Senado a los represen</w:t>
      </w:r>
      <w:r w:rsidR="00112257" w:rsidRPr="00112257">
        <w:rPr>
          <w:rFonts w:ascii="Palatino Linotype" w:hAnsi="Palatino Linotype" w:cs="CIDFont+F3"/>
          <w:i/>
          <w:szCs w:val="24"/>
        </w:rPr>
        <w:t>tantes que,</w:t>
      </w:r>
      <w:r w:rsidR="00112257">
        <w:rPr>
          <w:rFonts w:ascii="Palatino Linotype" w:hAnsi="Palatino Linotype" w:cs="CIDFont+F3"/>
          <w:i/>
          <w:szCs w:val="24"/>
        </w:rPr>
        <w:t xml:space="preserve"> en su caso y día, puedan enviar </w:t>
      </w:r>
      <w:r w:rsidR="00112257" w:rsidRPr="00112257">
        <w:rPr>
          <w:rFonts w:ascii="Palatino Linotype" w:hAnsi="Palatino Linotype" w:cs="CIDFont+F3"/>
          <w:i/>
          <w:szCs w:val="24"/>
        </w:rPr>
        <w:t>Ceuta y Melilla y, por la vía de la letra c) del</w:t>
      </w:r>
      <w:r w:rsidR="00112257">
        <w:rPr>
          <w:rFonts w:ascii="Palatino Linotype" w:hAnsi="Palatino Linotype" w:cs="CIDFont+F3"/>
          <w:i/>
          <w:szCs w:val="24"/>
        </w:rPr>
        <w:t xml:space="preserve"> </w:t>
      </w:r>
      <w:r w:rsidR="00112257" w:rsidRPr="00112257">
        <w:rPr>
          <w:rFonts w:ascii="Palatino Linotype" w:hAnsi="Palatino Linotype" w:cs="CIDFont+F3"/>
          <w:i/>
          <w:szCs w:val="24"/>
        </w:rPr>
        <w:t xml:space="preserve">artículo referido, los que </w:t>
      </w:r>
      <w:r w:rsidR="00112257" w:rsidRPr="00112257">
        <w:rPr>
          <w:rFonts w:ascii="Palatino Linotype" w:hAnsi="Palatino Linotype" w:cs="CIDFont+F3"/>
          <w:i/>
          <w:szCs w:val="24"/>
        </w:rPr>
        <w:t>tambi</w:t>
      </w:r>
      <w:r w:rsidR="00112257">
        <w:rPr>
          <w:rFonts w:ascii="Palatino Linotype" w:hAnsi="Palatino Linotype" w:cs="CIDFont+F3"/>
          <w:i/>
          <w:szCs w:val="24"/>
        </w:rPr>
        <w:t>én</w:t>
      </w:r>
      <w:r w:rsidR="00112257" w:rsidRPr="00112257">
        <w:rPr>
          <w:rFonts w:ascii="Palatino Linotype" w:hAnsi="Palatino Linotype" w:cs="CIDFont+F3"/>
          <w:i/>
          <w:szCs w:val="24"/>
        </w:rPr>
        <w:t xml:space="preserve"> podría, en</w:t>
      </w:r>
      <w:r w:rsidR="00112257">
        <w:rPr>
          <w:rFonts w:ascii="Palatino Linotype" w:hAnsi="Palatino Linotype" w:cs="CIDFont+F3"/>
          <w:i/>
          <w:szCs w:val="24"/>
        </w:rPr>
        <w:t xml:space="preserve"> </w:t>
      </w:r>
      <w:r w:rsidR="00112257" w:rsidRPr="00112257">
        <w:rPr>
          <w:rFonts w:ascii="Palatino Linotype" w:hAnsi="Palatino Linotype" w:cs="CIDFont+F3"/>
          <w:i/>
          <w:szCs w:val="24"/>
        </w:rPr>
        <w:t>un supuesto afortunado, llegar a enviar Gibraltar</w:t>
      </w:r>
      <w:r w:rsidR="00112257">
        <w:rPr>
          <w:rFonts w:ascii="Palatino Linotype" w:hAnsi="Palatino Linotype" w:cs="CIDFont+F3"/>
          <w:i/>
          <w:szCs w:val="24"/>
        </w:rPr>
        <w:t>”</w:t>
      </w:r>
      <w:r w:rsidRPr="00455537">
        <w:rPr>
          <w:rFonts w:ascii="Palatino Linotype" w:hAnsi="Palatino Linotype" w:cs="CIDFont+F3"/>
          <w:i/>
          <w:szCs w:val="24"/>
        </w:rPr>
        <w:t>.</w:t>
      </w:r>
      <w:r w:rsidR="00C700C1" w:rsidRPr="00455537">
        <w:rPr>
          <w:rFonts w:ascii="Palatino Linotype" w:hAnsi="Palatino Linotype" w:cs="CIDFont+F3"/>
          <w:i/>
          <w:szCs w:val="24"/>
        </w:rPr>
        <w:t xml:space="preserve"> Y como se ha co</w:t>
      </w:r>
      <w:r w:rsidR="00B75955" w:rsidRPr="00455537">
        <w:rPr>
          <w:rFonts w:ascii="Palatino Linotype" w:hAnsi="Palatino Linotype" w:cs="CIDFont+F3"/>
          <w:i/>
          <w:szCs w:val="24"/>
        </w:rPr>
        <w:t>mentado, lo mismo hace</w:t>
      </w:r>
      <w:r w:rsidR="00C700C1" w:rsidRPr="00455537">
        <w:rPr>
          <w:rFonts w:ascii="Palatino Linotype" w:hAnsi="Palatino Linotype" w:cs="CIDFont+F3"/>
          <w:i/>
          <w:szCs w:val="24"/>
        </w:rPr>
        <w:t xml:space="preserve"> la Disposición adicional primera, sobre Territorios históricos del vigente Estatuto de Autonomía Andaluz. Es decir</w:t>
      </w:r>
      <w:r w:rsidR="00B75955" w:rsidRPr="00455537">
        <w:rPr>
          <w:rFonts w:ascii="Palatino Linotype" w:hAnsi="Palatino Linotype" w:cs="CIDFont+F3"/>
          <w:i/>
          <w:szCs w:val="24"/>
        </w:rPr>
        <w:t>,</w:t>
      </w:r>
      <w:r w:rsidR="00C700C1" w:rsidRPr="00455537">
        <w:rPr>
          <w:rFonts w:ascii="Palatino Linotype" w:hAnsi="Palatino Linotype" w:cs="CIDFont+F3"/>
          <w:i/>
          <w:szCs w:val="24"/>
        </w:rPr>
        <w:t xml:space="preserve"> es una cuestión que ocupa, preocupa, y condiciona el “modus vivendi” </w:t>
      </w:r>
      <w:r w:rsidR="00B75955" w:rsidRPr="00455537">
        <w:rPr>
          <w:rFonts w:ascii="Palatino Linotype" w:hAnsi="Palatino Linotype" w:cs="CIDFont+F3"/>
          <w:i/>
          <w:szCs w:val="24"/>
        </w:rPr>
        <w:t xml:space="preserve">no ya </w:t>
      </w:r>
      <w:r w:rsidR="00C700C1" w:rsidRPr="00455537">
        <w:rPr>
          <w:rFonts w:ascii="Palatino Linotype" w:hAnsi="Palatino Linotype" w:cs="CIDFont+F3"/>
          <w:i/>
          <w:szCs w:val="24"/>
        </w:rPr>
        <w:t xml:space="preserve">de los residentes en La </w:t>
      </w:r>
      <w:r w:rsidR="00097AD7" w:rsidRPr="00455537">
        <w:rPr>
          <w:rFonts w:ascii="Palatino Linotype" w:hAnsi="Palatino Linotype" w:cs="CIDFont+F3"/>
          <w:i/>
          <w:szCs w:val="24"/>
        </w:rPr>
        <w:t>Línea</w:t>
      </w:r>
      <w:r w:rsidR="00C700C1" w:rsidRPr="00455537">
        <w:rPr>
          <w:rFonts w:ascii="Palatino Linotype" w:hAnsi="Palatino Linotype" w:cs="CIDFont+F3"/>
          <w:i/>
          <w:szCs w:val="24"/>
        </w:rPr>
        <w:t xml:space="preserve"> de la </w:t>
      </w:r>
      <w:r w:rsidR="00B75955" w:rsidRPr="00455537">
        <w:rPr>
          <w:rFonts w:ascii="Palatino Linotype" w:hAnsi="Palatino Linotype" w:cs="CIDFont+F3"/>
          <w:i/>
          <w:szCs w:val="24"/>
        </w:rPr>
        <w:t>Concepción</w:t>
      </w:r>
      <w:r w:rsidR="00C700C1" w:rsidRPr="00455537">
        <w:rPr>
          <w:rFonts w:ascii="Palatino Linotype" w:hAnsi="Palatino Linotype" w:cs="CIDFont+F3"/>
          <w:i/>
          <w:szCs w:val="24"/>
        </w:rPr>
        <w:t xml:space="preserve">, </w:t>
      </w:r>
      <w:r w:rsidR="00B75955" w:rsidRPr="00455537">
        <w:rPr>
          <w:rFonts w:ascii="Palatino Linotype" w:hAnsi="Palatino Linotype" w:cs="CIDFont+F3"/>
          <w:i/>
          <w:szCs w:val="24"/>
        </w:rPr>
        <w:t xml:space="preserve">sino de todo el Estado español, lo que justifica el interés nacional de la iniciativa municipal, siendo el </w:t>
      </w:r>
      <w:proofErr w:type="spellStart"/>
      <w:r w:rsidR="00B75955" w:rsidRPr="00455537">
        <w:rPr>
          <w:rFonts w:ascii="Palatino Linotype" w:hAnsi="Palatino Linotype" w:cs="CIDFont+F3"/>
          <w:i/>
          <w:szCs w:val="24"/>
        </w:rPr>
        <w:t>Brexit</w:t>
      </w:r>
      <w:proofErr w:type="spellEnd"/>
      <w:r w:rsidR="00B75955" w:rsidRPr="00455537">
        <w:rPr>
          <w:rFonts w:ascii="Palatino Linotype" w:hAnsi="Palatino Linotype" w:cs="CIDFont+F3"/>
          <w:i/>
          <w:szCs w:val="24"/>
        </w:rPr>
        <w:t xml:space="preserve"> una </w:t>
      </w:r>
      <w:r w:rsidR="00C700C1" w:rsidRPr="00455537">
        <w:rPr>
          <w:rFonts w:ascii="Palatino Linotype" w:hAnsi="Palatino Linotype" w:cs="CIDFont+F3"/>
          <w:i/>
          <w:szCs w:val="24"/>
        </w:rPr>
        <w:t>nueva</w:t>
      </w:r>
      <w:r w:rsidR="00B75955" w:rsidRPr="00455537">
        <w:rPr>
          <w:rFonts w:ascii="Palatino Linotype" w:hAnsi="Palatino Linotype" w:cs="CIDFont+F3"/>
          <w:i/>
          <w:szCs w:val="24"/>
        </w:rPr>
        <w:t xml:space="preserve"> e imprevista</w:t>
      </w:r>
      <w:r w:rsidR="00C700C1" w:rsidRPr="00455537">
        <w:rPr>
          <w:rFonts w:ascii="Palatino Linotype" w:hAnsi="Palatino Linotype" w:cs="CIDFont+F3"/>
          <w:i/>
          <w:szCs w:val="24"/>
        </w:rPr>
        <w:t xml:space="preserve"> circunstancia que altera sobremanera la percepción</w:t>
      </w:r>
      <w:r w:rsidR="00B75955" w:rsidRPr="00455537">
        <w:rPr>
          <w:rFonts w:ascii="Palatino Linotype" w:hAnsi="Palatino Linotype" w:cs="CIDFont+F3"/>
          <w:i/>
          <w:szCs w:val="24"/>
        </w:rPr>
        <w:t xml:space="preserve"> de certidumbre que se pudiera tener al respecto</w:t>
      </w:r>
      <w:r w:rsidR="00097AD7" w:rsidRPr="00455537">
        <w:rPr>
          <w:rFonts w:ascii="Palatino Linotype" w:hAnsi="Palatino Linotype" w:cs="CIDFont+F3"/>
          <w:i/>
          <w:szCs w:val="24"/>
        </w:rPr>
        <w:t>.</w:t>
      </w:r>
      <w:r w:rsidR="00C700C1" w:rsidRPr="00455537">
        <w:rPr>
          <w:rFonts w:ascii="Palatino Linotype" w:hAnsi="Palatino Linotype" w:cs="CIDFont+F3"/>
          <w:i/>
          <w:szCs w:val="24"/>
        </w:rPr>
        <w:t xml:space="preserve"> </w:t>
      </w:r>
    </w:p>
    <w:p w:rsidR="00455537" w:rsidRDefault="00455537" w:rsidP="00A200C2">
      <w:pPr>
        <w:autoSpaceDE w:val="0"/>
        <w:autoSpaceDN w:val="0"/>
        <w:adjustRightInd w:val="0"/>
        <w:rPr>
          <w:rFonts w:ascii="Palatino Linotype" w:hAnsi="Palatino Linotype" w:cs="CIDFont+F3"/>
          <w:i/>
          <w:szCs w:val="24"/>
        </w:rPr>
      </w:pPr>
    </w:p>
    <w:p w:rsidR="00B15D60" w:rsidRPr="00455537" w:rsidRDefault="00B15D60" w:rsidP="00A200C2">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Para Méndez de Vigo, el Peñón constituye una "anomalía histórica", dado que se trata de "una colonia". "Las Naciones Unidas tienen a Gibraltar en la lista de territorios a descolonizar", por lo que la cuestión de la cosoberanía es una "reivindicación permanente española".</w:t>
      </w:r>
    </w:p>
    <w:p w:rsidR="00B15D60" w:rsidRPr="00455537" w:rsidRDefault="00B15D60" w:rsidP="00A200C2">
      <w:pPr>
        <w:autoSpaceDE w:val="0"/>
        <w:autoSpaceDN w:val="0"/>
        <w:adjustRightInd w:val="0"/>
        <w:rPr>
          <w:rFonts w:ascii="Palatino Linotype" w:hAnsi="Palatino Linotype" w:cs="CIDFont+F3"/>
          <w:i/>
          <w:szCs w:val="24"/>
        </w:rPr>
      </w:pPr>
    </w:p>
    <w:p w:rsidR="00B15D60" w:rsidRPr="00455537" w:rsidRDefault="00097AD7" w:rsidP="00A200C2">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En La Línea estamos convencidos</w:t>
      </w:r>
      <w:r w:rsidR="00C03621" w:rsidRPr="00455537">
        <w:rPr>
          <w:rFonts w:ascii="Palatino Linotype" w:hAnsi="Palatino Linotype" w:cs="CIDFont+F3"/>
          <w:i/>
          <w:szCs w:val="24"/>
        </w:rPr>
        <w:t xml:space="preserve"> que c</w:t>
      </w:r>
      <w:r w:rsidR="00B15D60" w:rsidRPr="00455537">
        <w:rPr>
          <w:rFonts w:ascii="Palatino Linotype" w:hAnsi="Palatino Linotype" w:cs="CIDFont+F3"/>
          <w:i/>
          <w:szCs w:val="24"/>
        </w:rPr>
        <w:t xml:space="preserve">ualquier planteamiento debe partir de aceptar la convivencia normalizada con Gibraltar. En este sentido, toda estrategia coherente exige cambiar el discurso y el relato imperante sobre Gibraltar, aceptando el hecho de su existencia y la necesidad de normalizar la convivencia fronteriza y vecinal con España. </w:t>
      </w:r>
      <w:r w:rsidR="00B15D60" w:rsidRPr="00455537">
        <w:rPr>
          <w:rFonts w:ascii="Palatino Linotype" w:hAnsi="Palatino Linotype" w:cs="CIDFont+F3"/>
          <w:i/>
          <w:szCs w:val="24"/>
        </w:rPr>
        <w:lastRenderedPageBreak/>
        <w:t>Y para ello aceptar que antes o después, se hará necesario consultar a Gibraltar en las negociaciones (algo que España acepta hacer sólo ex post a un acuerdo con RU), consultas a las que España se encuentra en cualquier caso obligada por las Resoluciones y decisiones en el marco de NNUU.</w:t>
      </w:r>
    </w:p>
    <w:p w:rsidR="00522D4E" w:rsidRPr="00455537" w:rsidRDefault="00522D4E" w:rsidP="00A200C2">
      <w:pPr>
        <w:autoSpaceDE w:val="0"/>
        <w:autoSpaceDN w:val="0"/>
        <w:adjustRightInd w:val="0"/>
        <w:rPr>
          <w:rFonts w:ascii="Palatino Linotype" w:hAnsi="Palatino Linotype" w:cs="CIDFont+F3"/>
          <w:i/>
          <w:szCs w:val="24"/>
        </w:rPr>
      </w:pPr>
    </w:p>
    <w:p w:rsidR="0080527E" w:rsidRPr="00455537" w:rsidRDefault="00522D4E" w:rsidP="00A200C2">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¿Qué hacer hasta entonces? Los motivos de interés nacional que reclama el art. 144 de la CE, han sido notorios históricamente, desde permitir la voladura de la Línea de Contravalacion en 1810 por los británicos para evitar la ocupación de la fortaleza por las tropas francesas</w:t>
      </w:r>
      <w:r w:rsidR="00C93F59" w:rsidRPr="00455537">
        <w:rPr>
          <w:rFonts w:ascii="Palatino Linotype" w:hAnsi="Palatino Linotype" w:cs="CIDFont+F3"/>
          <w:i/>
          <w:szCs w:val="24"/>
        </w:rPr>
        <w:t xml:space="preserve">: </w:t>
      </w:r>
      <w:r w:rsidRPr="00455537">
        <w:rPr>
          <w:rFonts w:ascii="Palatino Linotype" w:hAnsi="Palatino Linotype" w:cs="CIDFont+F3"/>
          <w:i/>
          <w:szCs w:val="24"/>
        </w:rPr>
        <w:t>la</w:t>
      </w:r>
      <w:r w:rsidR="00C93F59" w:rsidRPr="00455537">
        <w:rPr>
          <w:rFonts w:ascii="Palatino Linotype" w:hAnsi="Palatino Linotype" w:cs="CIDFont+F3"/>
          <w:i/>
          <w:szCs w:val="24"/>
        </w:rPr>
        <w:t>s</w:t>
      </w:r>
      <w:r w:rsidRPr="00455537">
        <w:rPr>
          <w:rFonts w:ascii="Palatino Linotype" w:hAnsi="Palatino Linotype" w:cs="CIDFont+F3"/>
          <w:i/>
          <w:szCs w:val="24"/>
        </w:rPr>
        <w:t xml:space="preserve"> bombas que estallaron</w:t>
      </w:r>
      <w:r w:rsidR="003C0C61" w:rsidRPr="00455537">
        <w:rPr>
          <w:rFonts w:ascii="Palatino Linotype" w:hAnsi="Palatino Linotype" w:cs="CIDFont+F3"/>
          <w:i/>
          <w:szCs w:val="24"/>
        </w:rPr>
        <w:t xml:space="preserve"> el 12 de julio de 1941</w:t>
      </w:r>
      <w:r w:rsidRPr="00455537">
        <w:rPr>
          <w:rFonts w:ascii="Palatino Linotype" w:hAnsi="Palatino Linotype" w:cs="CIDFont+F3"/>
          <w:i/>
          <w:szCs w:val="24"/>
        </w:rPr>
        <w:t xml:space="preserve"> en la ciudad </w:t>
      </w:r>
      <w:r w:rsidR="003C0C61" w:rsidRPr="00455537">
        <w:rPr>
          <w:rFonts w:ascii="Palatino Linotype" w:hAnsi="Palatino Linotype" w:cs="CIDFont+F3"/>
          <w:i/>
          <w:szCs w:val="24"/>
        </w:rPr>
        <w:t>causando cinco fallecidos durante</w:t>
      </w:r>
      <w:r w:rsidRPr="00455537">
        <w:rPr>
          <w:rFonts w:ascii="Palatino Linotype" w:hAnsi="Palatino Linotype" w:cs="CIDFont+F3"/>
          <w:i/>
          <w:szCs w:val="24"/>
        </w:rPr>
        <w:t xml:space="preserve"> la segunda guerra mundial</w:t>
      </w:r>
      <w:r w:rsidR="003C0C61" w:rsidRPr="00455537">
        <w:rPr>
          <w:rFonts w:ascii="Palatino Linotype" w:hAnsi="Palatino Linotype" w:cs="CIDFont+F3"/>
          <w:i/>
          <w:szCs w:val="24"/>
        </w:rPr>
        <w:t xml:space="preserve"> sin que a estas alturas se haya indemnizados a los familiares de las víctimas</w:t>
      </w:r>
      <w:r w:rsidR="00C93F59" w:rsidRPr="00455537">
        <w:rPr>
          <w:rFonts w:ascii="Palatino Linotype" w:hAnsi="Palatino Linotype" w:cs="CIDFont+F3"/>
          <w:i/>
          <w:szCs w:val="24"/>
        </w:rPr>
        <w:t>; e</w:t>
      </w:r>
      <w:r w:rsidRPr="00455537">
        <w:rPr>
          <w:rFonts w:ascii="Palatino Linotype" w:hAnsi="Palatino Linotype" w:cs="CIDFont+F3"/>
          <w:i/>
          <w:szCs w:val="24"/>
        </w:rPr>
        <w:t>l cierre de la Frontera Verja en 1969</w:t>
      </w:r>
      <w:r w:rsidR="003C0C61" w:rsidRPr="00455537">
        <w:rPr>
          <w:rFonts w:ascii="Palatino Linotype" w:hAnsi="Palatino Linotype" w:cs="CIDFont+F3"/>
          <w:i/>
          <w:szCs w:val="24"/>
        </w:rPr>
        <w:t xml:space="preserve"> que provocó un éxodo de 30.000 personas</w:t>
      </w:r>
      <w:r w:rsidR="00C93F59" w:rsidRPr="00455537">
        <w:rPr>
          <w:rFonts w:ascii="Palatino Linotype" w:hAnsi="Palatino Linotype" w:cs="CIDFont+F3"/>
          <w:i/>
          <w:szCs w:val="24"/>
        </w:rPr>
        <w:t>;</w:t>
      </w:r>
      <w:r w:rsidRPr="00455537">
        <w:rPr>
          <w:rFonts w:ascii="Palatino Linotype" w:hAnsi="Palatino Linotype" w:cs="CIDFont+F3"/>
          <w:i/>
          <w:szCs w:val="24"/>
        </w:rPr>
        <w:t xml:space="preserve"> o</w:t>
      </w:r>
      <w:r w:rsidR="00C93F59" w:rsidRPr="00455537">
        <w:rPr>
          <w:rFonts w:ascii="Palatino Linotype" w:hAnsi="Palatino Linotype" w:cs="CIDFont+F3"/>
          <w:i/>
          <w:szCs w:val="24"/>
        </w:rPr>
        <w:t xml:space="preserve">, la norma en vigor sobre el tabaco que reduce la cantidad </w:t>
      </w:r>
      <w:r w:rsidR="003C0C61" w:rsidRPr="00455537">
        <w:rPr>
          <w:rFonts w:ascii="Palatino Linotype" w:hAnsi="Palatino Linotype" w:cs="CIDFont+F3"/>
          <w:i/>
          <w:szCs w:val="24"/>
        </w:rPr>
        <w:t xml:space="preserve">de las exenciones fiscales previstas a 80 cigarrillos para los viajeros residentes y trabajadores fronterizos de la zona fronteriza con Gibraltar </w:t>
      </w:r>
      <w:r w:rsidR="0080527E" w:rsidRPr="00455537">
        <w:rPr>
          <w:rFonts w:ascii="Palatino Linotype" w:hAnsi="Palatino Linotype" w:cs="CIDFont+F3"/>
          <w:i/>
          <w:szCs w:val="24"/>
        </w:rPr>
        <w:t>(disposición adicional primera de la Ley Orgánica 6/2011, de 30 de junio)</w:t>
      </w:r>
      <w:r w:rsidR="00C93F59" w:rsidRPr="00455537">
        <w:rPr>
          <w:rFonts w:ascii="Palatino Linotype" w:hAnsi="Palatino Linotype" w:cs="CIDFont+F3"/>
          <w:i/>
          <w:szCs w:val="24"/>
        </w:rPr>
        <w:t xml:space="preserve">, dejan bien a las claras como la ciudadanía </w:t>
      </w:r>
      <w:r w:rsidR="00455537">
        <w:rPr>
          <w:rFonts w:ascii="Palatino Linotype" w:hAnsi="Palatino Linotype" w:cs="CIDFont+F3"/>
          <w:i/>
          <w:szCs w:val="24"/>
        </w:rPr>
        <w:t xml:space="preserve">linense </w:t>
      </w:r>
      <w:r w:rsidR="00C93F59" w:rsidRPr="00455537">
        <w:rPr>
          <w:rFonts w:ascii="Palatino Linotype" w:hAnsi="Palatino Linotype" w:cs="CIDFont+F3"/>
          <w:i/>
          <w:szCs w:val="24"/>
        </w:rPr>
        <w:t>se sacrifica por la Nación, pero ésta no le dispensa las contrapartidas para compensarle, máxime cuando</w:t>
      </w:r>
      <w:r w:rsidRPr="00455537">
        <w:rPr>
          <w:rFonts w:ascii="Palatino Linotype" w:hAnsi="Palatino Linotype" w:cs="CIDFont+F3"/>
          <w:i/>
          <w:szCs w:val="24"/>
        </w:rPr>
        <w:t xml:space="preserve"> </w:t>
      </w:r>
      <w:r w:rsidR="00C93F59" w:rsidRPr="00455537">
        <w:rPr>
          <w:rFonts w:ascii="Palatino Linotype" w:hAnsi="Palatino Linotype" w:cs="CIDFont+F3"/>
          <w:i/>
          <w:szCs w:val="24"/>
        </w:rPr>
        <w:t>actualmente se continua con la dependencia económica de Gibraltar, soportando, tal como se recoge en el mencionado informe del Catedrático de Derecho Constitucional Universidad Complutense de Madrid, D. Antonio de Cabo de la Vega</w:t>
      </w:r>
      <w:r w:rsidR="0080527E" w:rsidRPr="00455537">
        <w:rPr>
          <w:rFonts w:ascii="Palatino Linotype" w:hAnsi="Palatino Linotype" w:cs="CIDFont+F3"/>
          <w:i/>
          <w:szCs w:val="24"/>
        </w:rPr>
        <w:t xml:space="preserve"> las servidumbres de las relaciones internacionales entre España, Reino Unido y la Unión Europea, tal como explicita </w:t>
      </w:r>
      <w:r w:rsidR="004A6C91" w:rsidRPr="00455537">
        <w:rPr>
          <w:rFonts w:ascii="Palatino Linotype" w:hAnsi="Palatino Linotype" w:cs="CIDFont+F3"/>
          <w:i/>
          <w:szCs w:val="24"/>
        </w:rPr>
        <w:t xml:space="preserve">el Informe elaborado por el Área de Derecho Internacional Público y Relaciones Internacionales de la Universidad de Cádiz, que obra en los anexos del acuerdo del pleno de 8 de julio de 2021, </w:t>
      </w:r>
      <w:r w:rsidR="0080527E" w:rsidRPr="00455537">
        <w:rPr>
          <w:rFonts w:ascii="Palatino Linotype" w:hAnsi="Palatino Linotype" w:cs="CIDFont+F3"/>
          <w:i/>
          <w:szCs w:val="24"/>
        </w:rPr>
        <w:t xml:space="preserve">donde </w:t>
      </w:r>
      <w:r w:rsidR="004A6C91" w:rsidRPr="00455537">
        <w:rPr>
          <w:rFonts w:ascii="Palatino Linotype" w:hAnsi="Palatino Linotype" w:cs="CIDFont+F3"/>
          <w:i/>
          <w:szCs w:val="24"/>
        </w:rPr>
        <w:t xml:space="preserve">se indica que </w:t>
      </w:r>
      <w:r w:rsidR="0080527E" w:rsidRPr="00455537">
        <w:rPr>
          <w:rFonts w:ascii="Palatino Linotype" w:hAnsi="Palatino Linotype" w:cs="CIDFont+F3"/>
          <w:i/>
          <w:szCs w:val="24"/>
        </w:rPr>
        <w:t>La Línea de la Concepción</w:t>
      </w:r>
      <w:r w:rsidR="004A6C91" w:rsidRPr="00455537">
        <w:rPr>
          <w:rFonts w:ascii="Palatino Linotype" w:hAnsi="Palatino Linotype" w:cs="CIDFont+F3"/>
          <w:i/>
          <w:szCs w:val="24"/>
        </w:rPr>
        <w:t xml:space="preserve"> reúne un conjunto de características singulares únicas en España: </w:t>
      </w:r>
    </w:p>
    <w:p w:rsidR="00BA41CE" w:rsidRPr="00455537" w:rsidRDefault="0080527E" w:rsidP="00A200C2">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 E</w:t>
      </w:r>
      <w:r w:rsidR="004A6C91" w:rsidRPr="00455537">
        <w:rPr>
          <w:rFonts w:ascii="Palatino Linotype" w:hAnsi="Palatino Linotype" w:cs="CIDFont+F3"/>
          <w:i/>
          <w:szCs w:val="24"/>
        </w:rPr>
        <w:t>s el único municipio europeo que linda con un territorio pendiente de descolonización según las Naciones</w:t>
      </w:r>
      <w:r w:rsidR="00BA41CE" w:rsidRPr="00455537">
        <w:rPr>
          <w:rFonts w:ascii="Palatino Linotype" w:hAnsi="Palatino Linotype" w:cs="CIDFont+F3"/>
          <w:i/>
          <w:szCs w:val="24"/>
        </w:rPr>
        <w:t xml:space="preserve"> </w:t>
      </w:r>
      <w:r w:rsidR="004A6C91" w:rsidRPr="00455537">
        <w:rPr>
          <w:rFonts w:ascii="Palatino Linotype" w:hAnsi="Palatino Linotype" w:cs="CIDFont+F3"/>
          <w:i/>
          <w:szCs w:val="24"/>
        </w:rPr>
        <w:t>Unidas</w:t>
      </w:r>
      <w:r w:rsidR="00BA41CE" w:rsidRPr="00455537">
        <w:rPr>
          <w:rFonts w:ascii="Palatino Linotype" w:hAnsi="Palatino Linotype" w:cs="CIDFont+F3"/>
          <w:i/>
          <w:szCs w:val="24"/>
        </w:rPr>
        <w:t>.</w:t>
      </w:r>
    </w:p>
    <w:p w:rsidR="00BA41CE" w:rsidRPr="00455537" w:rsidRDefault="00BA41CE" w:rsidP="00A200C2">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 E</w:t>
      </w:r>
      <w:r w:rsidR="004A6C91" w:rsidRPr="00455537">
        <w:rPr>
          <w:rFonts w:ascii="Palatino Linotype" w:hAnsi="Palatino Linotype" w:cs="CIDFont+F3"/>
          <w:i/>
          <w:szCs w:val="24"/>
        </w:rPr>
        <w:t>l único que es contiguo a un territorio, el istmo, sobre el que pesa una reclamación permanente de soberanía por parte de España</w:t>
      </w:r>
      <w:r w:rsidRPr="00455537">
        <w:rPr>
          <w:rFonts w:ascii="Palatino Linotype" w:hAnsi="Palatino Linotype" w:cs="CIDFont+F3"/>
          <w:i/>
          <w:szCs w:val="24"/>
        </w:rPr>
        <w:t>.</w:t>
      </w:r>
    </w:p>
    <w:p w:rsidR="00BA41CE" w:rsidRPr="00455537" w:rsidRDefault="00BA41CE" w:rsidP="00A200C2">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 E</w:t>
      </w:r>
      <w:r w:rsidR="004A6C91" w:rsidRPr="00455537">
        <w:rPr>
          <w:rFonts w:ascii="Palatino Linotype" w:hAnsi="Palatino Linotype" w:cs="CIDFont+F3"/>
          <w:i/>
          <w:szCs w:val="24"/>
        </w:rPr>
        <w:t>l único que hace frontera con un aeropuerto militar de otro Estado con el que no hay coordinación de ningún tipo, con los riesgos de seguridad que ello conlleva para la población del municipio</w:t>
      </w:r>
    </w:p>
    <w:p w:rsidR="00C93F59" w:rsidRPr="00455537" w:rsidRDefault="00BA41CE" w:rsidP="00A200C2">
      <w:pPr>
        <w:autoSpaceDE w:val="0"/>
        <w:autoSpaceDN w:val="0"/>
        <w:adjustRightInd w:val="0"/>
        <w:rPr>
          <w:rFonts w:ascii="Palatino Linotype" w:hAnsi="Palatino Linotype" w:cs="CIDFont+F3"/>
          <w:i/>
          <w:szCs w:val="24"/>
        </w:rPr>
      </w:pPr>
      <w:r w:rsidRPr="00455537">
        <w:rPr>
          <w:rFonts w:ascii="Palatino Linotype" w:hAnsi="Palatino Linotype" w:cs="CIDFont+F3"/>
          <w:i/>
          <w:szCs w:val="24"/>
        </w:rPr>
        <w:t>.- Y</w:t>
      </w:r>
      <w:r w:rsidR="004A6C91" w:rsidRPr="00455537">
        <w:rPr>
          <w:rFonts w:ascii="Palatino Linotype" w:hAnsi="Palatino Linotype" w:cs="CIDFont+F3"/>
          <w:i/>
          <w:szCs w:val="24"/>
        </w:rPr>
        <w:t xml:space="preserve">, en fin, es uno de los territorios que más están sufriendo, y de forma más directa e intensa, las consecuencias del </w:t>
      </w:r>
      <w:proofErr w:type="spellStart"/>
      <w:r w:rsidR="004A6C91" w:rsidRPr="00455537">
        <w:rPr>
          <w:rFonts w:ascii="Palatino Linotype" w:hAnsi="Palatino Linotype" w:cs="CIDFont+F3"/>
          <w:i/>
          <w:szCs w:val="24"/>
        </w:rPr>
        <w:t>Brexit</w:t>
      </w:r>
      <w:proofErr w:type="spellEnd"/>
      <w:r w:rsidR="004A6C91" w:rsidRPr="00455537">
        <w:rPr>
          <w:rFonts w:ascii="Palatino Linotype" w:hAnsi="Palatino Linotype" w:cs="CIDFont+F3"/>
          <w:i/>
          <w:szCs w:val="24"/>
        </w:rPr>
        <w:t>, dada la dependencia económica con Gibraltar.</w:t>
      </w:r>
    </w:p>
    <w:p w:rsidR="000C11B0" w:rsidRPr="00992088" w:rsidRDefault="000C11B0" w:rsidP="00A200C2">
      <w:pPr>
        <w:autoSpaceDE w:val="0"/>
        <w:autoSpaceDN w:val="0"/>
        <w:adjustRightInd w:val="0"/>
        <w:rPr>
          <w:rFonts w:ascii="Palatino Linotype" w:hAnsi="Palatino Linotype" w:cs="CIDFont+F3"/>
          <w:i/>
          <w:color w:val="FF0000"/>
          <w:szCs w:val="24"/>
        </w:rPr>
      </w:pPr>
    </w:p>
    <w:p w:rsidR="00934341" w:rsidRDefault="00C03621"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En tal sentido c</w:t>
      </w:r>
      <w:r w:rsidR="000C11B0" w:rsidRPr="00992088">
        <w:rPr>
          <w:rFonts w:ascii="Palatino Linotype" w:hAnsi="Palatino Linotype" w:cs="CIDFont+F3"/>
          <w:i/>
          <w:color w:val="282828"/>
          <w:szCs w:val="24"/>
        </w:rPr>
        <w:t>oincidimos plenamente con el Catedrático de Derecho Internacional Público y Relaciones Internacionales de la Universidad de Cádiz, D. Alejandro del Valle Gálvez</w:t>
      </w:r>
      <w:r w:rsidR="005C53B2">
        <w:rPr>
          <w:rFonts w:ascii="Palatino Linotype" w:hAnsi="Palatino Linotype" w:cs="CIDFont+F3"/>
          <w:i/>
          <w:color w:val="282828"/>
          <w:szCs w:val="24"/>
        </w:rPr>
        <w:t>,</w:t>
      </w:r>
      <w:r w:rsidR="000C11B0" w:rsidRPr="00992088">
        <w:rPr>
          <w:rFonts w:ascii="Palatino Linotype" w:hAnsi="Palatino Linotype" w:cs="CIDFont+F3"/>
          <w:i/>
          <w:color w:val="282828"/>
          <w:szCs w:val="24"/>
        </w:rPr>
        <w:t xml:space="preserve"> </w:t>
      </w:r>
      <w:r w:rsidR="00522D4E" w:rsidRPr="00992088">
        <w:rPr>
          <w:rFonts w:ascii="Palatino Linotype" w:hAnsi="Palatino Linotype" w:cs="CIDFont+F3"/>
          <w:i/>
          <w:color w:val="282828"/>
          <w:szCs w:val="24"/>
        </w:rPr>
        <w:t>cuando afirma</w:t>
      </w:r>
      <w:r w:rsidR="000C11B0" w:rsidRPr="00992088">
        <w:rPr>
          <w:rFonts w:ascii="Palatino Linotype" w:hAnsi="Palatino Linotype" w:cs="CIDFont+F3"/>
          <w:i/>
          <w:color w:val="282828"/>
          <w:szCs w:val="24"/>
        </w:rPr>
        <w:t xml:space="preserve"> que «el </w:t>
      </w:r>
      <w:proofErr w:type="spellStart"/>
      <w:r w:rsidR="000C11B0" w:rsidRPr="00992088">
        <w:rPr>
          <w:rFonts w:ascii="Palatino Linotype" w:hAnsi="Palatino Linotype" w:cs="CIDFont+F3"/>
          <w:i/>
          <w:color w:val="282828"/>
          <w:szCs w:val="24"/>
        </w:rPr>
        <w:t>Brexit</w:t>
      </w:r>
      <w:proofErr w:type="spellEnd"/>
      <w:r w:rsidR="000C11B0" w:rsidRPr="00992088">
        <w:rPr>
          <w:rFonts w:ascii="Palatino Linotype" w:hAnsi="Palatino Linotype" w:cs="CIDFont+F3"/>
          <w:i/>
          <w:color w:val="282828"/>
          <w:szCs w:val="24"/>
        </w:rPr>
        <w:t xml:space="preserve"> plantea un nuevo tablero jurídico internacional y europeo de juego con nuevas reglas, pero también ofrece un momento histórico para que España redefina su relación con Gibraltar, dando oportunidades a fórmulas que busquen vías nuevas de futuro y solución a la controversia histórica». Coincidimos también con este autor en que «el momento histórico puede ser propicio incluso para avanzar nuevas fórmulas imaginativas».</w:t>
      </w:r>
      <w:r w:rsidR="00522D4E" w:rsidRPr="00992088">
        <w:rPr>
          <w:rFonts w:ascii="Palatino Linotype" w:hAnsi="Palatino Linotype" w:cs="CIDFont+F3"/>
          <w:i/>
          <w:color w:val="282828"/>
          <w:szCs w:val="24"/>
        </w:rPr>
        <w:t xml:space="preserve"> </w:t>
      </w:r>
    </w:p>
    <w:p w:rsidR="000C11B0" w:rsidRPr="00992088" w:rsidRDefault="00522D4E"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lastRenderedPageBreak/>
        <w:t>(</w:t>
      </w:r>
      <w:hyperlink r:id="rId8" w:history="1">
        <w:r w:rsidRPr="00992088">
          <w:rPr>
            <w:rStyle w:val="Hipervnculo"/>
            <w:rFonts w:ascii="Palatino Linotype" w:hAnsi="Palatino Linotype" w:cs="CIDFont+F3"/>
            <w:i/>
            <w:szCs w:val="24"/>
          </w:rPr>
          <w:t>http://www.exteriores.gob.es/Portal/es/Ministerio/EscuelaDiplomatica/Documents/coleccion%20ED%2023_para%20web.pdf</w:t>
        </w:r>
      </w:hyperlink>
      <w:r w:rsidRPr="00992088">
        <w:rPr>
          <w:rFonts w:ascii="Palatino Linotype" w:hAnsi="Palatino Linotype" w:cs="CIDFont+F3"/>
          <w:i/>
          <w:color w:val="282828"/>
          <w:szCs w:val="24"/>
        </w:rPr>
        <w:t>)</w:t>
      </w:r>
    </w:p>
    <w:p w:rsidR="00554DA0" w:rsidRPr="00992088" w:rsidRDefault="00554DA0" w:rsidP="00A200C2">
      <w:pPr>
        <w:autoSpaceDE w:val="0"/>
        <w:autoSpaceDN w:val="0"/>
        <w:adjustRightInd w:val="0"/>
        <w:rPr>
          <w:rFonts w:ascii="Palatino Linotype" w:hAnsi="Palatino Linotype" w:cs="CIDFont+F3"/>
          <w:i/>
          <w:color w:val="282828"/>
          <w:szCs w:val="24"/>
        </w:rPr>
      </w:pPr>
    </w:p>
    <w:p w:rsidR="00C03621" w:rsidRPr="00992088" w:rsidRDefault="00C03621"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Entre esas fórmulas imaginativas, visto que a lo largo del tiempo a La Línea de la Concepción se le han negado cuantas se propusieron, desde la llegada del ferrocarril</w:t>
      </w:r>
      <w:r w:rsidR="005F4540" w:rsidRPr="00992088">
        <w:rPr>
          <w:rFonts w:ascii="Palatino Linotype" w:hAnsi="Palatino Linotype" w:cs="CIDFont+F3"/>
          <w:i/>
          <w:color w:val="282828"/>
          <w:szCs w:val="24"/>
        </w:rPr>
        <w:t xml:space="preserve">, </w:t>
      </w:r>
      <w:r w:rsidRPr="00992088">
        <w:rPr>
          <w:rFonts w:ascii="Palatino Linotype" w:hAnsi="Palatino Linotype" w:cs="CIDFont+F3"/>
          <w:i/>
          <w:color w:val="282828"/>
          <w:szCs w:val="24"/>
        </w:rPr>
        <w:t xml:space="preserve"> </w:t>
      </w:r>
      <w:r w:rsidR="005F4540" w:rsidRPr="00992088">
        <w:rPr>
          <w:rFonts w:ascii="Palatino Linotype" w:hAnsi="Palatino Linotype" w:cs="CIDFont+F3"/>
          <w:i/>
          <w:color w:val="282828"/>
          <w:szCs w:val="24"/>
        </w:rPr>
        <w:t xml:space="preserve">en el siglo XIX, </w:t>
      </w:r>
      <w:r w:rsidRPr="00992088">
        <w:rPr>
          <w:rFonts w:ascii="Palatino Linotype" w:hAnsi="Palatino Linotype" w:cs="CIDFont+F3"/>
          <w:i/>
          <w:color w:val="282828"/>
          <w:szCs w:val="24"/>
        </w:rPr>
        <w:t>a</w:t>
      </w:r>
      <w:r w:rsidR="005F4540" w:rsidRPr="00992088">
        <w:rPr>
          <w:rFonts w:ascii="Palatino Linotype" w:hAnsi="Palatino Linotype" w:cs="CIDFont+F3"/>
          <w:i/>
          <w:color w:val="282828"/>
          <w:szCs w:val="24"/>
        </w:rPr>
        <w:t>, recientemente,</w:t>
      </w:r>
      <w:r w:rsidRPr="00992088">
        <w:rPr>
          <w:rFonts w:ascii="Palatino Linotype" w:hAnsi="Palatino Linotype" w:cs="CIDFont+F3"/>
          <w:i/>
          <w:color w:val="282828"/>
          <w:szCs w:val="24"/>
        </w:rPr>
        <w:t xml:space="preserve"> la zona franca, pasando por la Carta Económica Especial, </w:t>
      </w:r>
      <w:r w:rsidR="005F4540" w:rsidRPr="00992088">
        <w:rPr>
          <w:rFonts w:ascii="Palatino Linotype" w:hAnsi="Palatino Linotype" w:cs="CIDFont+F3"/>
          <w:i/>
          <w:color w:val="282828"/>
          <w:szCs w:val="24"/>
        </w:rPr>
        <w:t>el</w:t>
      </w:r>
      <w:r w:rsidRPr="00992088">
        <w:rPr>
          <w:rFonts w:ascii="Palatino Linotype" w:hAnsi="Palatino Linotype" w:cs="CIDFont+F3"/>
          <w:i/>
          <w:color w:val="282828"/>
          <w:szCs w:val="24"/>
        </w:rPr>
        <w:t xml:space="preserve"> tratamiento fiscal diferenciado</w:t>
      </w:r>
      <w:r w:rsidR="005F4540" w:rsidRPr="00992088">
        <w:rPr>
          <w:rFonts w:ascii="Palatino Linotype" w:hAnsi="Palatino Linotype" w:cs="CIDFont+F3"/>
          <w:i/>
          <w:color w:val="282828"/>
          <w:szCs w:val="24"/>
        </w:rPr>
        <w:t xml:space="preserve"> especial para empresas y bonificaciones tributarias</w:t>
      </w:r>
      <w:r w:rsidRPr="00992088">
        <w:rPr>
          <w:rFonts w:ascii="Palatino Linotype" w:hAnsi="Palatino Linotype" w:cs="CIDFont+F3"/>
          <w:i/>
          <w:color w:val="282828"/>
          <w:szCs w:val="24"/>
        </w:rPr>
        <w:t>, el reconocimiento de la singularidad</w:t>
      </w:r>
      <w:r w:rsidR="005F4540" w:rsidRPr="00992088">
        <w:rPr>
          <w:rFonts w:ascii="Palatino Linotype" w:hAnsi="Palatino Linotype" w:cs="CIDFont+F3"/>
          <w:i/>
          <w:color w:val="282828"/>
          <w:szCs w:val="24"/>
        </w:rPr>
        <w:t xml:space="preserve"> facilitándonos un control financiero especial para el Ayuntamiento de La Línea de la Concepción, entre otras, todas ellas recogidas en el Plan Estratégico de Impulso y Crecimiento de La Línea, </w:t>
      </w:r>
      <w:r w:rsidR="004A6C91" w:rsidRPr="00992088">
        <w:rPr>
          <w:rFonts w:ascii="Palatino Linotype" w:hAnsi="Palatino Linotype" w:cs="CIDFont+F3"/>
          <w:i/>
          <w:color w:val="282828"/>
          <w:szCs w:val="24"/>
        </w:rPr>
        <w:t xml:space="preserve">también incluido como anexo al reiterado acuerdo del Pleno Municipal, </w:t>
      </w:r>
      <w:r w:rsidR="005F4540" w:rsidRPr="00992088">
        <w:rPr>
          <w:rFonts w:ascii="Palatino Linotype" w:hAnsi="Palatino Linotype" w:cs="CIDFont+F3"/>
          <w:i/>
          <w:color w:val="282828"/>
          <w:szCs w:val="24"/>
        </w:rPr>
        <w:t>surge como instrumento legal y garantizado</w:t>
      </w:r>
      <w:r w:rsidR="004A6C91" w:rsidRPr="00992088">
        <w:rPr>
          <w:rFonts w:ascii="Palatino Linotype" w:hAnsi="Palatino Linotype" w:cs="CIDFont+F3"/>
          <w:i/>
          <w:color w:val="282828"/>
          <w:szCs w:val="24"/>
        </w:rPr>
        <w:t xml:space="preserve"> para el futuro</w:t>
      </w:r>
      <w:r w:rsidR="005F4540" w:rsidRPr="00992088">
        <w:rPr>
          <w:rFonts w:ascii="Palatino Linotype" w:hAnsi="Palatino Linotype" w:cs="CIDFont+F3"/>
          <w:i/>
          <w:color w:val="282828"/>
          <w:szCs w:val="24"/>
        </w:rPr>
        <w:t xml:space="preserve"> la </w:t>
      </w:r>
      <w:r w:rsidR="00554DA0" w:rsidRPr="00992088">
        <w:rPr>
          <w:rFonts w:ascii="Palatino Linotype" w:hAnsi="Palatino Linotype" w:cs="CIDFont+F3"/>
          <w:i/>
          <w:color w:val="282828"/>
          <w:szCs w:val="24"/>
        </w:rPr>
        <w:t xml:space="preserve">autonomía para la Ciudad de La </w:t>
      </w:r>
      <w:r w:rsidR="005C53B2" w:rsidRPr="00992088">
        <w:rPr>
          <w:rFonts w:ascii="Palatino Linotype" w:hAnsi="Palatino Linotype" w:cs="CIDFont+F3"/>
          <w:i/>
          <w:color w:val="282828"/>
          <w:szCs w:val="24"/>
        </w:rPr>
        <w:t>Línea</w:t>
      </w:r>
      <w:r w:rsidR="004A6C91" w:rsidRPr="00992088">
        <w:rPr>
          <w:rFonts w:ascii="Palatino Linotype" w:hAnsi="Palatino Linotype" w:cs="CIDFont+F3"/>
          <w:i/>
          <w:color w:val="282828"/>
          <w:szCs w:val="24"/>
        </w:rPr>
        <w:t xml:space="preserve"> de la </w:t>
      </w:r>
      <w:r w:rsidR="005C53B2" w:rsidRPr="00992088">
        <w:rPr>
          <w:rFonts w:ascii="Palatino Linotype" w:hAnsi="Palatino Linotype" w:cs="CIDFont+F3"/>
          <w:i/>
          <w:color w:val="282828"/>
          <w:szCs w:val="24"/>
        </w:rPr>
        <w:t>Concepción</w:t>
      </w:r>
      <w:r w:rsidR="00554DA0" w:rsidRPr="00992088">
        <w:rPr>
          <w:rFonts w:ascii="Palatino Linotype" w:hAnsi="Palatino Linotype" w:cs="CIDFont+F3"/>
          <w:i/>
          <w:color w:val="282828"/>
          <w:szCs w:val="24"/>
        </w:rPr>
        <w:t>, como entidad local, si bien con autonomía distinta a la de los municipios que se rigen por la legislación general, siguiendo el modelo de Ceuta y Melilla, pero no copiándolo, por lo que, tanto la integración en la provincia de Cádiz, como en Andalucía, no tiene</w:t>
      </w:r>
      <w:r w:rsidR="00934341">
        <w:rPr>
          <w:rFonts w:ascii="Palatino Linotype" w:hAnsi="Palatino Linotype" w:cs="CIDFont+F3"/>
          <w:i/>
          <w:color w:val="282828"/>
          <w:szCs w:val="24"/>
        </w:rPr>
        <w:t>n</w:t>
      </w:r>
      <w:r w:rsidR="00554DA0" w:rsidRPr="00992088">
        <w:rPr>
          <w:rFonts w:ascii="Palatino Linotype" w:hAnsi="Palatino Linotype" w:cs="CIDFont+F3"/>
          <w:i/>
          <w:color w:val="282828"/>
          <w:szCs w:val="24"/>
        </w:rPr>
        <w:t xml:space="preserve"> que ser descartadas</w:t>
      </w:r>
      <w:r w:rsidR="004A6C91" w:rsidRPr="00992088">
        <w:rPr>
          <w:rFonts w:ascii="Palatino Linotype" w:hAnsi="Palatino Linotype" w:cs="CIDFont+F3"/>
          <w:i/>
          <w:color w:val="282828"/>
          <w:szCs w:val="24"/>
        </w:rPr>
        <w:t xml:space="preserve"> a priori, ya que esa decisión corresponderá a las Cortes Generales cuando se debatan y redacten las preceptivas Leyes Orgánicas</w:t>
      </w:r>
      <w:r w:rsidR="005F4540" w:rsidRPr="00992088">
        <w:rPr>
          <w:rFonts w:ascii="Palatino Linotype" w:hAnsi="Palatino Linotype" w:cs="CIDFont+F3"/>
          <w:i/>
          <w:color w:val="282828"/>
          <w:szCs w:val="24"/>
        </w:rPr>
        <w:t>.</w:t>
      </w:r>
    </w:p>
    <w:p w:rsidR="002D65A2" w:rsidRPr="00992088" w:rsidRDefault="002D65A2" w:rsidP="00A200C2">
      <w:pPr>
        <w:autoSpaceDE w:val="0"/>
        <w:autoSpaceDN w:val="0"/>
        <w:adjustRightInd w:val="0"/>
        <w:rPr>
          <w:rFonts w:ascii="Palatino Linotype" w:hAnsi="Palatino Linotype" w:cs="CIDFont+F3"/>
          <w:i/>
          <w:color w:val="282828"/>
          <w:szCs w:val="24"/>
        </w:rPr>
      </w:pPr>
    </w:p>
    <w:p w:rsidR="002D65A2" w:rsidRDefault="002D65A2" w:rsidP="00A200C2">
      <w:pPr>
        <w:autoSpaceDE w:val="0"/>
        <w:autoSpaceDN w:val="0"/>
        <w:adjustRightInd w:val="0"/>
        <w:rPr>
          <w:rFonts w:ascii="Palatino Linotype" w:hAnsi="Palatino Linotype" w:cs="CIDFont+F3"/>
          <w:i/>
          <w:color w:val="282828"/>
          <w:szCs w:val="24"/>
        </w:rPr>
      </w:pPr>
      <w:r w:rsidRPr="00992088">
        <w:rPr>
          <w:rFonts w:ascii="Palatino Linotype" w:hAnsi="Palatino Linotype" w:cs="CIDFont+F3"/>
          <w:i/>
          <w:color w:val="282828"/>
          <w:szCs w:val="24"/>
        </w:rPr>
        <w:t xml:space="preserve">Citando al autor del informe Enterría, con el que se pretende argumentar en contra del acuerdo plenario, dejamos constancia de </w:t>
      </w:r>
      <w:r w:rsidR="00463A1E" w:rsidRPr="00992088">
        <w:rPr>
          <w:rFonts w:ascii="Palatino Linotype" w:hAnsi="Palatino Linotype" w:cs="CIDFont+F3"/>
          <w:i/>
          <w:color w:val="282828"/>
          <w:szCs w:val="24"/>
        </w:rPr>
        <w:t xml:space="preserve">la </w:t>
      </w:r>
      <w:r w:rsidRPr="00992088">
        <w:rPr>
          <w:rFonts w:ascii="Palatino Linotype" w:hAnsi="Palatino Linotype" w:cs="CIDFont+F3"/>
          <w:i/>
          <w:color w:val="282828"/>
          <w:szCs w:val="24"/>
        </w:rPr>
        <w:t>definición de autonomía</w:t>
      </w:r>
      <w:r w:rsidR="00463A1E" w:rsidRPr="00992088">
        <w:rPr>
          <w:rFonts w:ascii="Palatino Linotype" w:hAnsi="Palatino Linotype" w:cs="CIDFont+F3"/>
          <w:i/>
          <w:color w:val="282828"/>
          <w:szCs w:val="24"/>
        </w:rPr>
        <w:t xml:space="preserve"> que daba en 1988</w:t>
      </w:r>
      <w:r w:rsidRPr="00992088">
        <w:rPr>
          <w:rFonts w:ascii="Palatino Linotype" w:hAnsi="Palatino Linotype" w:cs="CIDFont+F3"/>
          <w:i/>
          <w:color w:val="282828"/>
          <w:szCs w:val="24"/>
        </w:rPr>
        <w:t>: “</w:t>
      </w:r>
      <w:r w:rsidR="00463A1E" w:rsidRPr="00992088">
        <w:rPr>
          <w:rFonts w:ascii="Palatino Linotype" w:hAnsi="Palatino Linotype" w:cs="CIDFont+F3"/>
          <w:i/>
          <w:color w:val="282828"/>
          <w:szCs w:val="24"/>
        </w:rPr>
        <w:t>«</w:t>
      </w:r>
      <w:r w:rsidR="00463A1E" w:rsidRPr="00992088">
        <w:rPr>
          <w:rFonts w:ascii="Palatino Linotype" w:hAnsi="Palatino Linotype" w:cs="CIDFont+F3"/>
          <w:i/>
          <w:color w:val="282828"/>
          <w:szCs w:val="24"/>
          <w:u w:val="single"/>
        </w:rPr>
        <w:t>La autonomía territorial es una técnica funcional de gobierno y su apoyo verdadero</w:t>
      </w:r>
      <w:r w:rsidR="00463A1E" w:rsidRPr="00992088">
        <w:rPr>
          <w:rFonts w:ascii="Palatino Linotype" w:hAnsi="Palatino Linotype" w:cs="CIDFont+F3"/>
          <w:i/>
          <w:color w:val="282828"/>
          <w:szCs w:val="24"/>
        </w:rPr>
        <w:t xml:space="preserve">, más que una hipotética justicia de restitución histórica o cultural, </w:t>
      </w:r>
      <w:r w:rsidR="00463A1E" w:rsidRPr="00992088">
        <w:rPr>
          <w:rFonts w:ascii="Palatino Linotype" w:hAnsi="Palatino Linotype" w:cs="CIDFont+F3"/>
          <w:i/>
          <w:color w:val="282828"/>
          <w:szCs w:val="24"/>
          <w:u w:val="single"/>
        </w:rPr>
        <w:t>está en el derecho de los ciudadanos a participar en los asuntos que les conciernen</w:t>
      </w:r>
      <w:r w:rsidR="00463A1E" w:rsidRPr="00992088">
        <w:rPr>
          <w:rFonts w:ascii="Palatino Linotype" w:hAnsi="Palatino Linotype" w:cs="CIDFont+F3"/>
          <w:i/>
          <w:color w:val="282828"/>
          <w:szCs w:val="24"/>
        </w:rPr>
        <w:t>, derechos que tienen igual quienes se amparan en ciertas tradiciones que los intereses mantienen y afirman que aquellos otros que  han venido al mundo sin antecedentes tan ilustres y provienen del común de la estirpe».</w:t>
      </w:r>
    </w:p>
    <w:p w:rsidR="0022006A" w:rsidRDefault="0022006A" w:rsidP="00A200C2">
      <w:pPr>
        <w:autoSpaceDE w:val="0"/>
        <w:autoSpaceDN w:val="0"/>
        <w:adjustRightInd w:val="0"/>
        <w:rPr>
          <w:rFonts w:ascii="Palatino Linotype" w:hAnsi="Palatino Linotype" w:cs="CIDFont+F3"/>
          <w:i/>
          <w:color w:val="282828"/>
          <w:szCs w:val="24"/>
        </w:rPr>
      </w:pPr>
    </w:p>
    <w:p w:rsidR="0022006A" w:rsidRDefault="0022006A" w:rsidP="0022006A">
      <w:pPr>
        <w:autoSpaceDE w:val="0"/>
        <w:autoSpaceDN w:val="0"/>
        <w:adjustRightInd w:val="0"/>
        <w:jc w:val="center"/>
        <w:rPr>
          <w:rFonts w:ascii="Palatino Linotype" w:hAnsi="Palatino Linotype" w:cs="CIDFont+F3"/>
          <w:color w:val="282828"/>
          <w:szCs w:val="24"/>
        </w:rPr>
      </w:pPr>
      <w:r>
        <w:rPr>
          <w:rFonts w:ascii="Palatino Linotype" w:hAnsi="Palatino Linotype" w:cs="CIDFont+F3"/>
          <w:color w:val="282828"/>
          <w:szCs w:val="24"/>
        </w:rPr>
        <w:t xml:space="preserve">A LA </w:t>
      </w:r>
      <w:r w:rsidRPr="0022006A">
        <w:rPr>
          <w:rFonts w:ascii="Palatino Linotype" w:hAnsi="Palatino Linotype" w:cs="CIDFont+F3"/>
          <w:color w:val="282828"/>
          <w:szCs w:val="24"/>
        </w:rPr>
        <w:t>SUBDELEGACIÓN DEL GOBIERNO EN CÁDIZ</w:t>
      </w:r>
    </w:p>
    <w:p w:rsidR="0022006A" w:rsidRDefault="0022006A" w:rsidP="0022006A">
      <w:pPr>
        <w:autoSpaceDE w:val="0"/>
        <w:autoSpaceDN w:val="0"/>
        <w:adjustRightInd w:val="0"/>
        <w:jc w:val="center"/>
        <w:rPr>
          <w:rFonts w:ascii="Palatino Linotype" w:hAnsi="Palatino Linotype" w:cs="CIDFont+F3"/>
          <w:color w:val="282828"/>
          <w:szCs w:val="24"/>
        </w:rPr>
      </w:pPr>
    </w:p>
    <w:p w:rsidR="0022006A" w:rsidRPr="0022006A" w:rsidRDefault="0022006A" w:rsidP="0022006A">
      <w:pPr>
        <w:autoSpaceDE w:val="0"/>
        <w:autoSpaceDN w:val="0"/>
        <w:adjustRightInd w:val="0"/>
        <w:rPr>
          <w:rFonts w:ascii="Palatino Linotype" w:hAnsi="Palatino Linotype" w:cs="CIDFont+F3"/>
          <w:color w:val="282828"/>
          <w:szCs w:val="24"/>
        </w:rPr>
      </w:pPr>
      <w:r w:rsidRPr="0022006A">
        <w:rPr>
          <w:rFonts w:ascii="Palatino Linotype" w:hAnsi="Palatino Linotype" w:cs="CIDFont+F3"/>
          <w:color w:val="282828"/>
          <w:szCs w:val="24"/>
        </w:rPr>
        <w:t xml:space="preserve">1.- </w:t>
      </w:r>
      <w:r>
        <w:rPr>
          <w:rFonts w:ascii="Palatino Linotype" w:hAnsi="Palatino Linotype" w:cs="CIDFont+F3"/>
          <w:color w:val="282828"/>
          <w:szCs w:val="24"/>
        </w:rPr>
        <w:t>El subd</w:t>
      </w:r>
      <w:r w:rsidRPr="0022006A">
        <w:rPr>
          <w:rFonts w:ascii="Palatino Linotype" w:hAnsi="Palatino Linotype" w:cs="CIDFont+F3"/>
          <w:color w:val="282828"/>
          <w:szCs w:val="24"/>
        </w:rPr>
        <w:t>elegad</w:t>
      </w:r>
      <w:r>
        <w:rPr>
          <w:rFonts w:ascii="Palatino Linotype" w:hAnsi="Palatino Linotype" w:cs="CIDFont+F3"/>
          <w:color w:val="282828"/>
          <w:szCs w:val="24"/>
        </w:rPr>
        <w:t>o del Gobierno español</w:t>
      </w:r>
      <w:r w:rsidRPr="0022006A">
        <w:rPr>
          <w:rFonts w:ascii="Palatino Linotype" w:hAnsi="Palatino Linotype" w:cs="CIDFont+F3"/>
          <w:color w:val="282828"/>
          <w:szCs w:val="24"/>
        </w:rPr>
        <w:t xml:space="preserve"> en Cádiz, tras exponer que dentro del plazo legalmente establecido, la </w:t>
      </w:r>
      <w:r>
        <w:rPr>
          <w:rFonts w:ascii="Palatino Linotype" w:hAnsi="Palatino Linotype" w:cs="CIDFont+F3"/>
          <w:color w:val="282828"/>
          <w:szCs w:val="24"/>
        </w:rPr>
        <w:t>Subd</w:t>
      </w:r>
      <w:r w:rsidRPr="0022006A">
        <w:rPr>
          <w:rFonts w:ascii="Palatino Linotype" w:hAnsi="Palatino Linotype" w:cs="CIDFont+F3"/>
          <w:color w:val="282828"/>
          <w:szCs w:val="24"/>
        </w:rPr>
        <w:t>elegación del Gobierno a la que representa se opone a la consulta popular planteada en base a las siguientes ALEGACIONES, que se resumen en aras de la economía procesal:</w:t>
      </w:r>
    </w:p>
    <w:p w:rsidR="0022006A" w:rsidRDefault="0022006A" w:rsidP="0022006A">
      <w:pPr>
        <w:autoSpaceDE w:val="0"/>
        <w:autoSpaceDN w:val="0"/>
        <w:adjustRightInd w:val="0"/>
        <w:rPr>
          <w:rFonts w:ascii="Palatino Linotype" w:hAnsi="Palatino Linotype" w:cs="CIDFont+F3"/>
          <w:color w:val="282828"/>
          <w:szCs w:val="24"/>
        </w:rPr>
      </w:pPr>
      <w:r>
        <w:rPr>
          <w:rFonts w:ascii="Palatino Linotype" w:hAnsi="Palatino Linotype" w:cs="CIDFont+F3"/>
          <w:color w:val="282828"/>
          <w:szCs w:val="24"/>
        </w:rPr>
        <w:t>“</w:t>
      </w:r>
      <w:r w:rsidRPr="0022006A">
        <w:rPr>
          <w:rFonts w:ascii="Palatino Linotype" w:hAnsi="Palatino Linotype" w:cs="CIDFont+F3"/>
          <w:color w:val="282828"/>
          <w:szCs w:val="24"/>
        </w:rPr>
        <w:t>El régimen jurídico de las consultas populares municipales en la Comunidad Autónoma de Andalucía está</w:t>
      </w:r>
      <w:r>
        <w:rPr>
          <w:rFonts w:ascii="Palatino Linotype" w:hAnsi="Palatino Linotype" w:cs="CIDFont+F3"/>
          <w:color w:val="282828"/>
          <w:szCs w:val="24"/>
        </w:rPr>
        <w:t xml:space="preserve"> </w:t>
      </w:r>
      <w:r w:rsidRPr="0022006A">
        <w:rPr>
          <w:rFonts w:ascii="Palatino Linotype" w:hAnsi="Palatino Linotype" w:cs="CIDFont+F3"/>
          <w:color w:val="282828"/>
          <w:szCs w:val="24"/>
        </w:rPr>
        <w:t>integrado por el artículo 71 de la Ley 7/1985, de 2 de abril, Reguladora de las Bases del Régimen Local</w:t>
      </w:r>
      <w:r>
        <w:rPr>
          <w:rFonts w:ascii="Palatino Linotype" w:hAnsi="Palatino Linotype" w:cs="CIDFont+F3"/>
          <w:color w:val="282828"/>
          <w:szCs w:val="24"/>
        </w:rPr>
        <w:t xml:space="preserve"> </w:t>
      </w:r>
      <w:r w:rsidRPr="0022006A">
        <w:rPr>
          <w:rFonts w:ascii="Palatino Linotype" w:hAnsi="Palatino Linotype" w:cs="CIDFont+F3"/>
          <w:color w:val="282828"/>
          <w:szCs w:val="24"/>
        </w:rPr>
        <w:t>(</w:t>
      </w:r>
      <w:proofErr w:type="spellStart"/>
      <w:r w:rsidRPr="0022006A">
        <w:rPr>
          <w:rFonts w:ascii="Palatino Linotype" w:hAnsi="Palatino Linotype" w:cs="CIDFont+F3"/>
          <w:color w:val="282828"/>
          <w:szCs w:val="24"/>
        </w:rPr>
        <w:t>LrBRL</w:t>
      </w:r>
      <w:proofErr w:type="spellEnd"/>
      <w:r w:rsidRPr="0022006A">
        <w:rPr>
          <w:rFonts w:ascii="Palatino Linotype" w:hAnsi="Palatino Linotype" w:cs="CIDFont+F3"/>
          <w:color w:val="282828"/>
          <w:szCs w:val="24"/>
        </w:rPr>
        <w:t>), incluido en la sede normativa «información y participación ciudadanas», y por la Ley Parlamento</w:t>
      </w:r>
      <w:r>
        <w:rPr>
          <w:rFonts w:ascii="Palatino Linotype" w:hAnsi="Palatino Linotype" w:cs="CIDFont+F3"/>
          <w:color w:val="282828"/>
          <w:szCs w:val="24"/>
        </w:rPr>
        <w:t xml:space="preserve"> </w:t>
      </w:r>
      <w:r w:rsidRPr="0022006A">
        <w:rPr>
          <w:rFonts w:ascii="Palatino Linotype" w:hAnsi="Palatino Linotype" w:cs="CIDFont+F3"/>
          <w:color w:val="282828"/>
          <w:szCs w:val="24"/>
        </w:rPr>
        <w:t>de Andalucía 2/2001, de 3 de mayo, de regulación de las consultas populares locales en Andalucía,</w:t>
      </w:r>
      <w:r>
        <w:rPr>
          <w:rFonts w:ascii="Palatino Linotype" w:hAnsi="Palatino Linotype" w:cs="CIDFont+F3"/>
          <w:color w:val="282828"/>
          <w:szCs w:val="24"/>
        </w:rPr>
        <w:t xml:space="preserve"> </w:t>
      </w:r>
      <w:r w:rsidRPr="0022006A">
        <w:rPr>
          <w:rFonts w:ascii="Palatino Linotype" w:hAnsi="Palatino Linotype" w:cs="CIDFont+F3"/>
          <w:color w:val="282828"/>
          <w:szCs w:val="24"/>
        </w:rPr>
        <w:t>aprobada de conformidad con lo dispuesto en el artículo 15.2 del Estatuto de Autonomía para Andalucía</w:t>
      </w:r>
      <w:r>
        <w:rPr>
          <w:rFonts w:ascii="Palatino Linotype" w:hAnsi="Palatino Linotype" w:cs="CIDFont+F3"/>
          <w:color w:val="282828"/>
          <w:szCs w:val="24"/>
        </w:rPr>
        <w:t xml:space="preserve"> </w:t>
      </w:r>
      <w:r w:rsidRPr="0022006A">
        <w:rPr>
          <w:rFonts w:ascii="Palatino Linotype" w:hAnsi="Palatino Linotype" w:cs="CIDFont+F3"/>
          <w:color w:val="282828"/>
          <w:szCs w:val="24"/>
        </w:rPr>
        <w:t>que dispone que corresponde a la Comunidad Autónoma el desarrollo legislativo del sistema regulador de</w:t>
      </w:r>
      <w:r>
        <w:rPr>
          <w:rFonts w:ascii="Palatino Linotype" w:hAnsi="Palatino Linotype" w:cs="CIDFont+F3"/>
          <w:color w:val="282828"/>
          <w:szCs w:val="24"/>
        </w:rPr>
        <w:t xml:space="preserve"> </w:t>
      </w:r>
      <w:r w:rsidRPr="0022006A">
        <w:rPr>
          <w:rFonts w:ascii="Palatino Linotype" w:hAnsi="Palatino Linotype" w:cs="CIDFont+F3"/>
          <w:color w:val="282828"/>
          <w:szCs w:val="24"/>
        </w:rPr>
        <w:t>las consultas populares locales en el ámbito de Andalucía</w:t>
      </w:r>
      <w:r>
        <w:rPr>
          <w:rFonts w:ascii="Palatino Linotype" w:hAnsi="Palatino Linotype" w:cs="CIDFont+F3"/>
          <w:color w:val="282828"/>
          <w:szCs w:val="24"/>
        </w:rPr>
        <w:t>”</w:t>
      </w:r>
    </w:p>
    <w:p w:rsidR="0022006A" w:rsidRDefault="0022006A" w:rsidP="0022006A">
      <w:pPr>
        <w:autoSpaceDE w:val="0"/>
        <w:autoSpaceDN w:val="0"/>
        <w:adjustRightInd w:val="0"/>
        <w:rPr>
          <w:rFonts w:ascii="Palatino Linotype" w:hAnsi="Palatino Linotype" w:cs="CIDFont+F3"/>
          <w:i/>
          <w:color w:val="282828"/>
          <w:szCs w:val="24"/>
        </w:rPr>
      </w:pPr>
    </w:p>
    <w:p w:rsidR="0022006A" w:rsidRDefault="0022006A" w:rsidP="0022006A">
      <w:pPr>
        <w:autoSpaceDE w:val="0"/>
        <w:autoSpaceDN w:val="0"/>
        <w:adjustRightInd w:val="0"/>
        <w:rPr>
          <w:rFonts w:ascii="Palatino Linotype" w:hAnsi="Palatino Linotype" w:cs="CIDFont+F3"/>
          <w:i/>
          <w:color w:val="282828"/>
          <w:szCs w:val="24"/>
        </w:rPr>
      </w:pPr>
      <w:r>
        <w:rPr>
          <w:rFonts w:ascii="Palatino Linotype" w:hAnsi="Palatino Linotype" w:cs="CIDFont+F3"/>
          <w:i/>
          <w:color w:val="282828"/>
          <w:szCs w:val="24"/>
        </w:rPr>
        <w:lastRenderedPageBreak/>
        <w:t xml:space="preserve">Lo que argumenta la subdelegación </w:t>
      </w:r>
      <w:r w:rsidR="002E6913">
        <w:rPr>
          <w:rFonts w:ascii="Palatino Linotype" w:hAnsi="Palatino Linotype" w:cs="CIDFont+F3"/>
          <w:i/>
          <w:color w:val="282828"/>
          <w:szCs w:val="24"/>
        </w:rPr>
        <w:t xml:space="preserve">del gobierno en Cádiz no es otra cosa que intentar justificar la </w:t>
      </w:r>
      <w:r w:rsidR="002E6913" w:rsidRPr="002E6913">
        <w:rPr>
          <w:rFonts w:ascii="Palatino Linotype" w:hAnsi="Palatino Linotype" w:cs="CIDFont+F3"/>
          <w:i/>
          <w:color w:val="282828"/>
          <w:szCs w:val="24"/>
        </w:rPr>
        <w:t>EXTRALIMITACIÓN COMPETENCIAL EN LA CONSULTA POPULAR PLANTEADA</w:t>
      </w:r>
      <w:r w:rsidR="002E6913">
        <w:rPr>
          <w:rFonts w:ascii="Palatino Linotype" w:hAnsi="Palatino Linotype" w:cs="CIDFont+F3"/>
          <w:i/>
          <w:color w:val="282828"/>
          <w:szCs w:val="24"/>
        </w:rPr>
        <w:t xml:space="preserve">, tesis que también ha usado la Delegada de la Junta, y que se ha rebatido en la </w:t>
      </w:r>
      <w:proofErr w:type="spellStart"/>
      <w:r w:rsidR="002E6913">
        <w:rPr>
          <w:rFonts w:ascii="Palatino Linotype" w:hAnsi="Palatino Linotype" w:cs="CIDFont+F3"/>
          <w:i/>
          <w:color w:val="282828"/>
          <w:szCs w:val="24"/>
        </w:rPr>
        <w:t>pag</w:t>
      </w:r>
      <w:proofErr w:type="spellEnd"/>
      <w:r w:rsidR="002E6913">
        <w:rPr>
          <w:rFonts w:ascii="Palatino Linotype" w:hAnsi="Palatino Linotype" w:cs="CIDFont+F3"/>
          <w:i/>
          <w:color w:val="282828"/>
          <w:szCs w:val="24"/>
        </w:rPr>
        <w:t xml:space="preserve">. 2 y ss. </w:t>
      </w:r>
      <w:proofErr w:type="gramStart"/>
      <w:r w:rsidR="002E6913">
        <w:rPr>
          <w:rFonts w:ascii="Palatino Linotype" w:hAnsi="Palatino Linotype" w:cs="CIDFont+F3"/>
          <w:i/>
          <w:color w:val="282828"/>
          <w:szCs w:val="24"/>
        </w:rPr>
        <w:t>de</w:t>
      </w:r>
      <w:proofErr w:type="gramEnd"/>
      <w:r w:rsidR="002E6913">
        <w:rPr>
          <w:rFonts w:ascii="Palatino Linotype" w:hAnsi="Palatino Linotype" w:cs="CIDFont+F3"/>
          <w:i/>
          <w:color w:val="282828"/>
          <w:szCs w:val="24"/>
        </w:rPr>
        <w:t xml:space="preserve"> este documento, por lo que nos remitimos a lo allí expuesto.</w:t>
      </w:r>
    </w:p>
    <w:p w:rsidR="002E6913" w:rsidRDefault="002E6913" w:rsidP="0022006A">
      <w:pPr>
        <w:autoSpaceDE w:val="0"/>
        <w:autoSpaceDN w:val="0"/>
        <w:adjustRightInd w:val="0"/>
        <w:rPr>
          <w:rFonts w:ascii="Palatino Linotype" w:hAnsi="Palatino Linotype" w:cs="CIDFont+F3"/>
          <w:i/>
          <w:color w:val="282828"/>
          <w:szCs w:val="24"/>
        </w:rPr>
      </w:pPr>
    </w:p>
    <w:p w:rsidR="002E6913" w:rsidRDefault="002E6913" w:rsidP="002E6913">
      <w:pPr>
        <w:autoSpaceDE w:val="0"/>
        <w:autoSpaceDN w:val="0"/>
        <w:adjustRightInd w:val="0"/>
        <w:rPr>
          <w:rFonts w:ascii="Palatino Linotype" w:hAnsi="Palatino Linotype" w:cs="CIDFont+F3"/>
          <w:color w:val="282828"/>
          <w:szCs w:val="24"/>
        </w:rPr>
      </w:pPr>
      <w:r>
        <w:rPr>
          <w:rFonts w:ascii="Palatino Linotype" w:hAnsi="Palatino Linotype" w:cs="CIDFont+F3"/>
          <w:color w:val="282828"/>
          <w:szCs w:val="24"/>
        </w:rPr>
        <w:t>Finaliza el mencionado escrito: “</w:t>
      </w:r>
      <w:r w:rsidRPr="002E6913">
        <w:rPr>
          <w:rFonts w:ascii="Palatino Linotype" w:hAnsi="Palatino Linotype" w:cs="CIDFont+F3"/>
          <w:color w:val="282828"/>
          <w:szCs w:val="24"/>
        </w:rPr>
        <w:t>A lo anterior, cabe añadir la responsabilidad administrativa y penal en la que podrían incurrir quienes, a</w:t>
      </w:r>
      <w:r>
        <w:rPr>
          <w:rFonts w:ascii="Palatino Linotype" w:hAnsi="Palatino Linotype" w:cs="CIDFont+F3"/>
          <w:color w:val="282828"/>
          <w:szCs w:val="24"/>
        </w:rPr>
        <w:t xml:space="preserve"> </w:t>
      </w:r>
      <w:r w:rsidRPr="002E6913">
        <w:rPr>
          <w:rFonts w:ascii="Palatino Linotype" w:hAnsi="Palatino Linotype" w:cs="CIDFont+F3"/>
          <w:color w:val="282828"/>
          <w:szCs w:val="24"/>
        </w:rPr>
        <w:t>sabiendas de la asunción indebida de obligaciones, quebranten los vínculos de fidelidad y lealtad que le</w:t>
      </w:r>
      <w:r>
        <w:rPr>
          <w:rFonts w:ascii="Palatino Linotype" w:hAnsi="Palatino Linotype" w:cs="CIDFont+F3"/>
          <w:color w:val="282828"/>
          <w:szCs w:val="24"/>
        </w:rPr>
        <w:t xml:space="preserve"> </w:t>
      </w:r>
      <w:r w:rsidRPr="002E6913">
        <w:rPr>
          <w:rFonts w:ascii="Palatino Linotype" w:hAnsi="Palatino Linotype" w:cs="CIDFont+F3"/>
          <w:color w:val="282828"/>
          <w:szCs w:val="24"/>
        </w:rPr>
        <w:t>corresponden por el ejercicio de su función, abusando de las funciones de su cargo (STS 281/2019).</w:t>
      </w:r>
      <w:r>
        <w:rPr>
          <w:rFonts w:ascii="Palatino Linotype" w:hAnsi="Palatino Linotype" w:cs="CIDFont+F3"/>
          <w:color w:val="282828"/>
          <w:szCs w:val="24"/>
        </w:rPr>
        <w:t>”</w:t>
      </w:r>
    </w:p>
    <w:p w:rsidR="002E6913" w:rsidRDefault="002E6913" w:rsidP="002E6913">
      <w:pPr>
        <w:autoSpaceDE w:val="0"/>
        <w:autoSpaceDN w:val="0"/>
        <w:adjustRightInd w:val="0"/>
        <w:rPr>
          <w:rFonts w:ascii="Palatino Linotype" w:hAnsi="Palatino Linotype" w:cs="CIDFont+F3"/>
          <w:color w:val="282828"/>
          <w:szCs w:val="24"/>
        </w:rPr>
      </w:pPr>
    </w:p>
    <w:p w:rsidR="002E6913" w:rsidRPr="002E6913" w:rsidRDefault="002E6913" w:rsidP="002E6913">
      <w:pPr>
        <w:autoSpaceDE w:val="0"/>
        <w:autoSpaceDN w:val="0"/>
        <w:adjustRightInd w:val="0"/>
        <w:rPr>
          <w:rFonts w:ascii="Palatino Linotype" w:hAnsi="Palatino Linotype" w:cs="CIDFont+F3"/>
          <w:i/>
          <w:color w:val="282828"/>
          <w:szCs w:val="24"/>
        </w:rPr>
      </w:pPr>
      <w:r>
        <w:rPr>
          <w:rFonts w:ascii="Palatino Linotype" w:hAnsi="Palatino Linotype" w:cs="CIDFont+F3"/>
          <w:i/>
          <w:color w:val="282828"/>
          <w:szCs w:val="24"/>
        </w:rPr>
        <w:t>Advertencia que consideramos impropia de un representante de la Administración del Estado, al que se le está pidiendo autorización para realizar la consulta acogiéndonos a las garantías y procedimientos establecidos legalmente</w:t>
      </w:r>
      <w:r w:rsidR="000C6910">
        <w:rPr>
          <w:rFonts w:ascii="Palatino Linotype" w:hAnsi="Palatino Linotype" w:cs="CIDFont+F3"/>
          <w:i/>
          <w:color w:val="282828"/>
          <w:szCs w:val="24"/>
        </w:rPr>
        <w:t xml:space="preserve">, aunque, visto el trato que ha dado el Gobierno a quienes convocaron un referéndum secesionista e ilegal, lo que ni de lejos se parece a lo pretendemos, podemos estar tranquilos porque esperamos que se nos trate con el mismo rasero impune que se le ha dado a los condenados por el Tribunal Supremo, y </w:t>
      </w:r>
      <w:r w:rsidR="00934341">
        <w:rPr>
          <w:rFonts w:ascii="Palatino Linotype" w:hAnsi="Palatino Linotype" w:cs="CIDFont+F3"/>
          <w:i/>
          <w:color w:val="282828"/>
          <w:szCs w:val="24"/>
        </w:rPr>
        <w:t xml:space="preserve">a nuestra ciudad se le otorguen </w:t>
      </w:r>
      <w:r w:rsidR="000C6910">
        <w:rPr>
          <w:rFonts w:ascii="Palatino Linotype" w:hAnsi="Palatino Linotype" w:cs="CIDFont+F3"/>
          <w:i/>
          <w:color w:val="282828"/>
          <w:szCs w:val="24"/>
        </w:rPr>
        <w:t>las</w:t>
      </w:r>
      <w:r w:rsidR="00934341">
        <w:rPr>
          <w:rFonts w:ascii="Palatino Linotype" w:hAnsi="Palatino Linotype" w:cs="CIDFont+F3"/>
          <w:i/>
          <w:color w:val="282828"/>
          <w:szCs w:val="24"/>
        </w:rPr>
        <w:t xml:space="preserve"> mismas</w:t>
      </w:r>
      <w:r w:rsidR="000C6910">
        <w:rPr>
          <w:rFonts w:ascii="Palatino Linotype" w:hAnsi="Palatino Linotype" w:cs="CIDFont+F3"/>
          <w:i/>
          <w:color w:val="282828"/>
          <w:szCs w:val="24"/>
        </w:rPr>
        <w:t xml:space="preserve"> compensaciones económicas que se le está ofreciendo a Cataluña.</w:t>
      </w:r>
    </w:p>
    <w:p w:rsidR="002E6913" w:rsidRDefault="002E6913" w:rsidP="0022006A">
      <w:pPr>
        <w:autoSpaceDE w:val="0"/>
        <w:autoSpaceDN w:val="0"/>
        <w:adjustRightInd w:val="0"/>
        <w:rPr>
          <w:rFonts w:ascii="Palatino Linotype" w:hAnsi="Palatino Linotype" w:cs="CIDFont+F3"/>
          <w:i/>
          <w:color w:val="282828"/>
          <w:szCs w:val="24"/>
        </w:rPr>
      </w:pPr>
    </w:p>
    <w:p w:rsidR="00932075" w:rsidRPr="00992088" w:rsidRDefault="000C11B0" w:rsidP="00A200C2">
      <w:pPr>
        <w:autoSpaceDE w:val="0"/>
        <w:autoSpaceDN w:val="0"/>
        <w:adjustRightInd w:val="0"/>
        <w:rPr>
          <w:rFonts w:ascii="Verdana" w:hAnsi="Verdana" w:cs="CIDFont+F3"/>
          <w:b/>
          <w:color w:val="282828"/>
          <w:szCs w:val="24"/>
        </w:rPr>
      </w:pPr>
      <w:r w:rsidRPr="00992088">
        <w:rPr>
          <w:rFonts w:ascii="Verdana" w:hAnsi="Verdana" w:cs="CIDFont+F3"/>
          <w:b/>
          <w:color w:val="282828"/>
          <w:szCs w:val="24"/>
        </w:rPr>
        <w:t xml:space="preserve">Así, a nuestro entender, existen argumentos de peso </w:t>
      </w:r>
      <w:r w:rsidR="00EF24E5" w:rsidRPr="00992088">
        <w:rPr>
          <w:rFonts w:ascii="Verdana" w:hAnsi="Verdana" w:cs="CIDFont+F3"/>
          <w:b/>
          <w:color w:val="282828"/>
          <w:szCs w:val="24"/>
        </w:rPr>
        <w:t xml:space="preserve">para concluir que conceder a La Línea </w:t>
      </w:r>
      <w:r w:rsidR="005A7ADB" w:rsidRPr="00992088">
        <w:rPr>
          <w:rFonts w:ascii="Verdana" w:hAnsi="Verdana" w:cs="CIDFont+F3"/>
          <w:b/>
          <w:color w:val="282828"/>
          <w:szCs w:val="24"/>
        </w:rPr>
        <w:t xml:space="preserve">de la Concepción </w:t>
      </w:r>
      <w:r w:rsidR="00EF24E5" w:rsidRPr="00992088">
        <w:rPr>
          <w:rFonts w:ascii="Verdana" w:hAnsi="Verdana" w:cs="CIDFont+F3"/>
          <w:b/>
          <w:color w:val="282828"/>
          <w:szCs w:val="24"/>
        </w:rPr>
        <w:t xml:space="preserve">autorización para llevar </w:t>
      </w:r>
      <w:r w:rsidR="000C6910">
        <w:rPr>
          <w:rFonts w:ascii="Verdana" w:hAnsi="Verdana" w:cs="CIDFont+F3"/>
          <w:b/>
          <w:color w:val="282828"/>
          <w:szCs w:val="24"/>
        </w:rPr>
        <w:t xml:space="preserve">a </w:t>
      </w:r>
      <w:r w:rsidR="00EF24E5" w:rsidRPr="00992088">
        <w:rPr>
          <w:rFonts w:ascii="Verdana" w:hAnsi="Verdana" w:cs="CIDFont+F3"/>
          <w:b/>
          <w:color w:val="282828"/>
          <w:szCs w:val="24"/>
        </w:rPr>
        <w:t xml:space="preserve">cabo una consulta entre sus vecinos que abra la posibilidad de elevar al Gobierno del España y a las Cortes Generales una petición para instar la conversión del municipio en comunidad autónoma de acuerdo con lo establecido en el artículo 144 a) de la Constitución Española, se antoja, cuando </w:t>
      </w:r>
      <w:r w:rsidR="005A7ADB" w:rsidRPr="00992088">
        <w:rPr>
          <w:rFonts w:ascii="Verdana" w:hAnsi="Verdana" w:cs="CIDFont+F3"/>
          <w:b/>
          <w:color w:val="282828"/>
          <w:szCs w:val="24"/>
        </w:rPr>
        <w:t xml:space="preserve">menos, </w:t>
      </w:r>
      <w:r w:rsidR="00B9500B">
        <w:rPr>
          <w:rFonts w:ascii="Verdana" w:hAnsi="Verdana" w:cs="CIDFont+F3"/>
          <w:b/>
          <w:color w:val="282828"/>
          <w:szCs w:val="24"/>
        </w:rPr>
        <w:t xml:space="preserve">legal, </w:t>
      </w:r>
      <w:r w:rsidR="005A7ADB" w:rsidRPr="00992088">
        <w:rPr>
          <w:rFonts w:ascii="Verdana" w:hAnsi="Verdana" w:cs="CIDFont+F3"/>
          <w:b/>
          <w:color w:val="282828"/>
          <w:szCs w:val="24"/>
        </w:rPr>
        <w:t>democrático y razonable.</w:t>
      </w:r>
    </w:p>
    <w:p w:rsidR="00D972BC" w:rsidRDefault="00D972BC" w:rsidP="00AA369C">
      <w:pPr>
        <w:autoSpaceDE w:val="0"/>
        <w:autoSpaceDN w:val="0"/>
        <w:adjustRightInd w:val="0"/>
        <w:jc w:val="left"/>
        <w:rPr>
          <w:rFonts w:ascii="CIDFont+F3" w:hAnsi="CIDFont+F3" w:cs="CIDFont+F3"/>
          <w:color w:val="282828"/>
          <w:sz w:val="22"/>
        </w:rPr>
      </w:pPr>
    </w:p>
    <w:p w:rsidR="00B9500B" w:rsidRDefault="00B9500B" w:rsidP="00AA369C">
      <w:pPr>
        <w:autoSpaceDE w:val="0"/>
        <w:autoSpaceDN w:val="0"/>
        <w:adjustRightInd w:val="0"/>
        <w:jc w:val="left"/>
        <w:rPr>
          <w:rFonts w:ascii="CIDFont+F3" w:hAnsi="CIDFont+F3" w:cs="CIDFont+F3"/>
          <w:color w:val="282828"/>
          <w:sz w:val="22"/>
        </w:rPr>
      </w:pPr>
      <w:r>
        <w:rPr>
          <w:rFonts w:ascii="CIDFont+F3" w:hAnsi="CIDFont+F3" w:cs="CIDFont+F3"/>
          <w:color w:val="282828"/>
          <w:sz w:val="22"/>
        </w:rPr>
        <w:t xml:space="preserve">En La Línea, a </w:t>
      </w:r>
      <w:r w:rsidR="00112257">
        <w:rPr>
          <w:rFonts w:ascii="CIDFont+F3" w:hAnsi="CIDFont+F3" w:cs="CIDFont+F3"/>
          <w:color w:val="282828"/>
          <w:sz w:val="22"/>
        </w:rPr>
        <w:t>4</w:t>
      </w:r>
      <w:r>
        <w:rPr>
          <w:rFonts w:ascii="CIDFont+F3" w:hAnsi="CIDFont+F3" w:cs="CIDFont+F3"/>
          <w:color w:val="282828"/>
          <w:sz w:val="22"/>
        </w:rPr>
        <w:t xml:space="preserve"> de </w:t>
      </w:r>
      <w:r w:rsidR="00112257">
        <w:rPr>
          <w:rFonts w:ascii="CIDFont+F3" w:hAnsi="CIDFont+F3" w:cs="CIDFont+F3"/>
          <w:color w:val="282828"/>
          <w:sz w:val="22"/>
        </w:rPr>
        <w:t>diciem</w:t>
      </w:r>
      <w:r>
        <w:rPr>
          <w:rFonts w:ascii="CIDFont+F3" w:hAnsi="CIDFont+F3" w:cs="CIDFont+F3"/>
          <w:color w:val="282828"/>
          <w:sz w:val="22"/>
        </w:rPr>
        <w:t>bre de 2021.</w:t>
      </w:r>
      <w:bookmarkStart w:id="0" w:name="_GoBack"/>
      <w:bookmarkEnd w:id="0"/>
    </w:p>
    <w:p w:rsidR="00B9500B" w:rsidRDefault="00B9500B" w:rsidP="00AA369C">
      <w:pPr>
        <w:autoSpaceDE w:val="0"/>
        <w:autoSpaceDN w:val="0"/>
        <w:adjustRightInd w:val="0"/>
        <w:jc w:val="left"/>
        <w:rPr>
          <w:rFonts w:ascii="CIDFont+F3" w:hAnsi="CIDFont+F3" w:cs="CIDFont+F3"/>
          <w:color w:val="282828"/>
          <w:sz w:val="22"/>
        </w:rPr>
      </w:pPr>
    </w:p>
    <w:p w:rsidR="00B9500B" w:rsidRDefault="00B9500B" w:rsidP="00AA369C">
      <w:pPr>
        <w:autoSpaceDE w:val="0"/>
        <w:autoSpaceDN w:val="0"/>
        <w:adjustRightInd w:val="0"/>
        <w:jc w:val="left"/>
        <w:rPr>
          <w:rFonts w:ascii="CIDFont+F3" w:hAnsi="CIDFont+F3" w:cs="CIDFont+F3"/>
          <w:color w:val="282828"/>
          <w:sz w:val="22"/>
        </w:rPr>
      </w:pPr>
      <w:r>
        <w:rPr>
          <w:rFonts w:ascii="CIDFont+F3" w:hAnsi="CIDFont+F3" w:cs="CIDFont+F3"/>
          <w:color w:val="282828"/>
          <w:sz w:val="22"/>
        </w:rPr>
        <w:tab/>
      </w:r>
      <w:r>
        <w:rPr>
          <w:rFonts w:ascii="CIDFont+F3" w:hAnsi="CIDFont+F3" w:cs="CIDFont+F3"/>
          <w:color w:val="282828"/>
          <w:sz w:val="22"/>
        </w:rPr>
        <w:tab/>
      </w:r>
      <w:r>
        <w:rPr>
          <w:rFonts w:ascii="CIDFont+F3" w:hAnsi="CIDFont+F3" w:cs="CIDFont+F3"/>
          <w:color w:val="282828"/>
          <w:sz w:val="22"/>
        </w:rPr>
        <w:tab/>
      </w:r>
      <w:r>
        <w:rPr>
          <w:rFonts w:ascii="CIDFont+F3" w:hAnsi="CIDFont+F3" w:cs="CIDFont+F3"/>
          <w:color w:val="282828"/>
          <w:sz w:val="22"/>
        </w:rPr>
        <w:tab/>
        <w:t>Fdo. Helenio Lucas Fernandez Parrado</w:t>
      </w:r>
    </w:p>
    <w:p w:rsidR="00B9500B" w:rsidRDefault="00B9500B" w:rsidP="00AA369C">
      <w:pPr>
        <w:autoSpaceDE w:val="0"/>
        <w:autoSpaceDN w:val="0"/>
        <w:adjustRightInd w:val="0"/>
        <w:jc w:val="left"/>
        <w:rPr>
          <w:rFonts w:ascii="CIDFont+F3" w:hAnsi="CIDFont+F3" w:cs="CIDFont+F3"/>
          <w:color w:val="282828"/>
          <w:sz w:val="22"/>
        </w:rPr>
      </w:pPr>
      <w:r>
        <w:rPr>
          <w:rFonts w:ascii="CIDFont+F3" w:hAnsi="CIDFont+F3" w:cs="CIDFont+F3"/>
          <w:color w:val="282828"/>
          <w:sz w:val="22"/>
        </w:rPr>
        <w:tab/>
      </w:r>
      <w:r>
        <w:rPr>
          <w:rFonts w:ascii="CIDFont+F3" w:hAnsi="CIDFont+F3" w:cs="CIDFont+F3"/>
          <w:color w:val="282828"/>
          <w:sz w:val="22"/>
        </w:rPr>
        <w:tab/>
      </w:r>
      <w:r>
        <w:rPr>
          <w:rFonts w:ascii="CIDFont+F3" w:hAnsi="CIDFont+F3" w:cs="CIDFont+F3"/>
          <w:color w:val="282828"/>
          <w:sz w:val="22"/>
        </w:rPr>
        <w:tab/>
      </w:r>
      <w:r>
        <w:rPr>
          <w:rFonts w:ascii="CIDFont+F3" w:hAnsi="CIDFont+F3" w:cs="CIDFont+F3"/>
          <w:color w:val="282828"/>
          <w:sz w:val="22"/>
        </w:rPr>
        <w:tab/>
        <w:t>Presidente y Portavoz de La Línea 100x100</w:t>
      </w:r>
    </w:p>
    <w:p w:rsidR="00D972BC" w:rsidRDefault="00D972BC" w:rsidP="00AA369C">
      <w:pPr>
        <w:autoSpaceDE w:val="0"/>
        <w:autoSpaceDN w:val="0"/>
        <w:adjustRightInd w:val="0"/>
        <w:jc w:val="left"/>
        <w:rPr>
          <w:rFonts w:ascii="CIDFont+F3" w:hAnsi="CIDFont+F3" w:cs="CIDFont+F3"/>
          <w:color w:val="282828"/>
          <w:sz w:val="22"/>
        </w:rPr>
      </w:pPr>
    </w:p>
    <w:p w:rsidR="00D972BC" w:rsidRDefault="00D972BC" w:rsidP="00AA369C">
      <w:pPr>
        <w:autoSpaceDE w:val="0"/>
        <w:autoSpaceDN w:val="0"/>
        <w:adjustRightInd w:val="0"/>
        <w:jc w:val="left"/>
        <w:rPr>
          <w:rFonts w:ascii="CIDFont+F3" w:hAnsi="CIDFont+F3" w:cs="CIDFont+F3"/>
          <w:color w:val="282828"/>
          <w:sz w:val="22"/>
        </w:rPr>
      </w:pPr>
    </w:p>
    <w:p w:rsidR="00D972BC" w:rsidRDefault="00D972BC" w:rsidP="00AA369C">
      <w:pPr>
        <w:autoSpaceDE w:val="0"/>
        <w:autoSpaceDN w:val="0"/>
        <w:adjustRightInd w:val="0"/>
        <w:jc w:val="left"/>
        <w:rPr>
          <w:rFonts w:ascii="CIDFont+F3" w:hAnsi="CIDFont+F3" w:cs="CIDFont+F3"/>
          <w:color w:val="282828"/>
          <w:sz w:val="22"/>
        </w:rPr>
      </w:pPr>
    </w:p>
    <w:p w:rsidR="00D972BC" w:rsidRDefault="00D972BC" w:rsidP="00AA369C">
      <w:pPr>
        <w:autoSpaceDE w:val="0"/>
        <w:autoSpaceDN w:val="0"/>
        <w:adjustRightInd w:val="0"/>
        <w:jc w:val="left"/>
        <w:rPr>
          <w:rFonts w:ascii="CIDFont+F3" w:hAnsi="CIDFont+F3" w:cs="CIDFont+F3"/>
          <w:color w:val="282828"/>
          <w:sz w:val="22"/>
        </w:rPr>
      </w:pPr>
    </w:p>
    <w:p w:rsidR="00D972BC" w:rsidRDefault="00D972BC" w:rsidP="00AA369C">
      <w:pPr>
        <w:autoSpaceDE w:val="0"/>
        <w:autoSpaceDN w:val="0"/>
        <w:adjustRightInd w:val="0"/>
        <w:jc w:val="left"/>
        <w:rPr>
          <w:rFonts w:ascii="CIDFont+F3" w:hAnsi="CIDFont+F3" w:cs="CIDFont+F3"/>
          <w:color w:val="282828"/>
          <w:sz w:val="22"/>
        </w:rPr>
      </w:pPr>
    </w:p>
    <w:p w:rsidR="00402FFE" w:rsidRPr="00402FFE" w:rsidRDefault="00402FFE" w:rsidP="00AA369C">
      <w:pPr>
        <w:autoSpaceDE w:val="0"/>
        <w:autoSpaceDN w:val="0"/>
        <w:adjustRightInd w:val="0"/>
        <w:jc w:val="left"/>
        <w:rPr>
          <w:rFonts w:ascii="CIDFont+F3" w:hAnsi="CIDFont+F3" w:cs="CIDFont+F3"/>
          <w:color w:val="FF0000"/>
          <w:sz w:val="22"/>
        </w:rPr>
      </w:pPr>
    </w:p>
    <w:p w:rsidR="00402FFE" w:rsidRPr="00402FFE" w:rsidRDefault="00402FFE" w:rsidP="00AA369C">
      <w:pPr>
        <w:autoSpaceDE w:val="0"/>
        <w:autoSpaceDN w:val="0"/>
        <w:adjustRightInd w:val="0"/>
        <w:jc w:val="left"/>
        <w:rPr>
          <w:rFonts w:ascii="CIDFont+F3" w:hAnsi="CIDFont+F3" w:cs="CIDFont+F3"/>
          <w:color w:val="FF0000"/>
          <w:sz w:val="22"/>
        </w:rPr>
      </w:pPr>
    </w:p>
    <w:p w:rsidR="00402FFE" w:rsidRPr="00402FFE" w:rsidRDefault="00402FFE" w:rsidP="00402FFE">
      <w:pPr>
        <w:autoSpaceDE w:val="0"/>
        <w:autoSpaceDN w:val="0"/>
        <w:adjustRightInd w:val="0"/>
        <w:jc w:val="left"/>
        <w:rPr>
          <w:rFonts w:ascii="CIDFont+F3" w:hAnsi="CIDFont+F3" w:cs="CIDFont+F3"/>
          <w:color w:val="FF0000"/>
          <w:sz w:val="22"/>
        </w:rPr>
      </w:pPr>
    </w:p>
    <w:p w:rsidR="008D6D0D" w:rsidRDefault="008D6D0D" w:rsidP="00402FFE">
      <w:pPr>
        <w:autoSpaceDE w:val="0"/>
        <w:autoSpaceDN w:val="0"/>
        <w:adjustRightInd w:val="0"/>
        <w:jc w:val="left"/>
        <w:rPr>
          <w:rFonts w:ascii="CIDFont+F3" w:hAnsi="CIDFont+F3" w:cs="CIDFont+F3"/>
          <w:color w:val="FF0000"/>
          <w:sz w:val="22"/>
        </w:rPr>
      </w:pPr>
    </w:p>
    <w:p w:rsidR="006035CE" w:rsidRDefault="006035CE" w:rsidP="008D6D0D">
      <w:pPr>
        <w:autoSpaceDE w:val="0"/>
        <w:autoSpaceDN w:val="0"/>
        <w:adjustRightInd w:val="0"/>
        <w:jc w:val="left"/>
        <w:rPr>
          <w:rFonts w:ascii="CIDFont+F3" w:hAnsi="CIDFont+F3" w:cs="CIDFont+F3"/>
          <w:color w:val="FF0000"/>
          <w:sz w:val="22"/>
        </w:rPr>
      </w:pPr>
    </w:p>
    <w:p w:rsidR="00477F50" w:rsidRDefault="00477F50" w:rsidP="006035CE">
      <w:pPr>
        <w:autoSpaceDE w:val="0"/>
        <w:autoSpaceDN w:val="0"/>
        <w:adjustRightInd w:val="0"/>
        <w:jc w:val="left"/>
        <w:rPr>
          <w:rFonts w:ascii="CIDFont+F3" w:hAnsi="CIDFont+F3" w:cs="CIDFont+F3"/>
          <w:color w:val="FF0000"/>
          <w:sz w:val="22"/>
        </w:rPr>
      </w:pPr>
    </w:p>
    <w:p w:rsidR="00477F50" w:rsidRDefault="00477F50" w:rsidP="00477F50">
      <w:pPr>
        <w:autoSpaceDE w:val="0"/>
        <w:autoSpaceDN w:val="0"/>
        <w:adjustRightInd w:val="0"/>
        <w:jc w:val="left"/>
        <w:rPr>
          <w:rFonts w:ascii="CIDFont+F3" w:hAnsi="CIDFont+F3" w:cs="CIDFont+F3"/>
          <w:color w:val="FF0000"/>
          <w:sz w:val="22"/>
        </w:rPr>
      </w:pPr>
    </w:p>
    <w:p w:rsidR="002C1324" w:rsidRDefault="002C1324" w:rsidP="00477F50">
      <w:pPr>
        <w:autoSpaceDE w:val="0"/>
        <w:autoSpaceDN w:val="0"/>
        <w:adjustRightInd w:val="0"/>
        <w:jc w:val="left"/>
        <w:rPr>
          <w:rFonts w:ascii="CIDFont+F3" w:hAnsi="CIDFont+F3" w:cs="CIDFont+F3"/>
          <w:color w:val="FF0000"/>
          <w:sz w:val="22"/>
        </w:rPr>
      </w:pPr>
    </w:p>
    <w:p w:rsidR="002C1324" w:rsidRPr="00402FFE" w:rsidRDefault="002C1324" w:rsidP="00477F50">
      <w:pPr>
        <w:autoSpaceDE w:val="0"/>
        <w:autoSpaceDN w:val="0"/>
        <w:adjustRightInd w:val="0"/>
        <w:jc w:val="left"/>
        <w:rPr>
          <w:rFonts w:ascii="CIDFont+F3" w:hAnsi="CIDFont+F3" w:cs="CIDFont+F3"/>
          <w:color w:val="FF0000"/>
          <w:sz w:val="22"/>
        </w:rPr>
      </w:pPr>
      <w:r w:rsidRPr="002C1324">
        <w:rPr>
          <w:rFonts w:ascii="CIDFont+F3" w:hAnsi="CIDFont+F3" w:cs="CIDFont+F3"/>
          <w:color w:val="FF0000"/>
          <w:sz w:val="22"/>
        </w:rPr>
        <w:t>.</w:t>
      </w:r>
    </w:p>
    <w:sectPr w:rsidR="002C1324" w:rsidRPr="00402F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IDFont+F1">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651"/>
    <w:rsid w:val="00016B58"/>
    <w:rsid w:val="00097AD7"/>
    <w:rsid w:val="000B18B7"/>
    <w:rsid w:val="000C11B0"/>
    <w:rsid w:val="000C6910"/>
    <w:rsid w:val="00112257"/>
    <w:rsid w:val="00121166"/>
    <w:rsid w:val="001515A3"/>
    <w:rsid w:val="001858EB"/>
    <w:rsid w:val="001C2BE9"/>
    <w:rsid w:val="0022006A"/>
    <w:rsid w:val="002C1324"/>
    <w:rsid w:val="002C59B1"/>
    <w:rsid w:val="002D02B1"/>
    <w:rsid w:val="002D65A2"/>
    <w:rsid w:val="002E4324"/>
    <w:rsid w:val="002E6913"/>
    <w:rsid w:val="00321435"/>
    <w:rsid w:val="003C0C61"/>
    <w:rsid w:val="00402FFE"/>
    <w:rsid w:val="00455537"/>
    <w:rsid w:val="00463A1E"/>
    <w:rsid w:val="00477F50"/>
    <w:rsid w:val="004A6B33"/>
    <w:rsid w:val="004A6C91"/>
    <w:rsid w:val="004B2C35"/>
    <w:rsid w:val="004D4FA4"/>
    <w:rsid w:val="00522D4E"/>
    <w:rsid w:val="00547410"/>
    <w:rsid w:val="00554DA0"/>
    <w:rsid w:val="005A7ADB"/>
    <w:rsid w:val="005C53B2"/>
    <w:rsid w:val="005F2EA6"/>
    <w:rsid w:val="005F4540"/>
    <w:rsid w:val="006035CE"/>
    <w:rsid w:val="0060682C"/>
    <w:rsid w:val="00640061"/>
    <w:rsid w:val="006B4DA2"/>
    <w:rsid w:val="006E240E"/>
    <w:rsid w:val="007913AF"/>
    <w:rsid w:val="007A28A1"/>
    <w:rsid w:val="007A28FB"/>
    <w:rsid w:val="0080527E"/>
    <w:rsid w:val="008D6D0D"/>
    <w:rsid w:val="008E3EFF"/>
    <w:rsid w:val="008F71A2"/>
    <w:rsid w:val="00932075"/>
    <w:rsid w:val="00934341"/>
    <w:rsid w:val="009473ED"/>
    <w:rsid w:val="0098222F"/>
    <w:rsid w:val="009846C2"/>
    <w:rsid w:val="00992088"/>
    <w:rsid w:val="0099271D"/>
    <w:rsid w:val="00A200C2"/>
    <w:rsid w:val="00A26589"/>
    <w:rsid w:val="00A4150D"/>
    <w:rsid w:val="00A753E2"/>
    <w:rsid w:val="00AA369C"/>
    <w:rsid w:val="00AA6FE3"/>
    <w:rsid w:val="00B1246B"/>
    <w:rsid w:val="00B15D60"/>
    <w:rsid w:val="00B2322E"/>
    <w:rsid w:val="00B75955"/>
    <w:rsid w:val="00B9264E"/>
    <w:rsid w:val="00B9500B"/>
    <w:rsid w:val="00BA41CE"/>
    <w:rsid w:val="00BB2483"/>
    <w:rsid w:val="00BE608D"/>
    <w:rsid w:val="00BF593C"/>
    <w:rsid w:val="00C03621"/>
    <w:rsid w:val="00C46756"/>
    <w:rsid w:val="00C62669"/>
    <w:rsid w:val="00C700C1"/>
    <w:rsid w:val="00C93F59"/>
    <w:rsid w:val="00C96B03"/>
    <w:rsid w:val="00CC4335"/>
    <w:rsid w:val="00CF4651"/>
    <w:rsid w:val="00D307EE"/>
    <w:rsid w:val="00D4385F"/>
    <w:rsid w:val="00D65629"/>
    <w:rsid w:val="00D83C68"/>
    <w:rsid w:val="00D972BC"/>
    <w:rsid w:val="00E12A36"/>
    <w:rsid w:val="00EB0DC0"/>
    <w:rsid w:val="00EB3482"/>
    <w:rsid w:val="00EB5D5D"/>
    <w:rsid w:val="00EC29B3"/>
    <w:rsid w:val="00EC2F1B"/>
    <w:rsid w:val="00EF24E5"/>
    <w:rsid w:val="00F30FAB"/>
    <w:rsid w:val="00F81007"/>
    <w:rsid w:val="00F94A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21166"/>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166"/>
    <w:rPr>
      <w:rFonts w:ascii="Tahoma" w:hAnsi="Tahoma" w:cs="Tahoma"/>
      <w:sz w:val="16"/>
      <w:szCs w:val="16"/>
    </w:rPr>
  </w:style>
  <w:style w:type="character" w:styleId="Hipervnculo">
    <w:name w:val="Hyperlink"/>
    <w:basedOn w:val="Fuentedeprrafopredeter"/>
    <w:uiPriority w:val="99"/>
    <w:unhideWhenUsed/>
    <w:rsid w:val="008D6D0D"/>
    <w:rPr>
      <w:color w:val="0000FF" w:themeColor="hyperlink"/>
      <w:u w:val="single"/>
    </w:rPr>
  </w:style>
  <w:style w:type="character" w:styleId="Hipervnculovisitado">
    <w:name w:val="FollowedHyperlink"/>
    <w:basedOn w:val="Fuentedeprrafopredeter"/>
    <w:uiPriority w:val="99"/>
    <w:semiHidden/>
    <w:unhideWhenUsed/>
    <w:rsid w:val="000B18B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21166"/>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166"/>
    <w:rPr>
      <w:rFonts w:ascii="Tahoma" w:hAnsi="Tahoma" w:cs="Tahoma"/>
      <w:sz w:val="16"/>
      <w:szCs w:val="16"/>
    </w:rPr>
  </w:style>
  <w:style w:type="character" w:styleId="Hipervnculo">
    <w:name w:val="Hyperlink"/>
    <w:basedOn w:val="Fuentedeprrafopredeter"/>
    <w:uiPriority w:val="99"/>
    <w:unhideWhenUsed/>
    <w:rsid w:val="008D6D0D"/>
    <w:rPr>
      <w:color w:val="0000FF" w:themeColor="hyperlink"/>
      <w:u w:val="single"/>
    </w:rPr>
  </w:style>
  <w:style w:type="character" w:styleId="Hipervnculovisitado">
    <w:name w:val="FollowedHyperlink"/>
    <w:basedOn w:val="Fuentedeprrafopredeter"/>
    <w:uiPriority w:val="99"/>
    <w:semiHidden/>
    <w:unhideWhenUsed/>
    <w:rsid w:val="000B18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teriores.gob.es/Portal/es/Ministerio/EscuelaDiplomatica/Documents/coleccion%20ED%2023_para%20web.pdf" TargetMode="External"/><Relationship Id="rId3" Type="http://schemas.microsoft.com/office/2007/relationships/stylesWithEffects" Target="stylesWithEffects.xml"/><Relationship Id="rId7" Type="http://schemas.openxmlformats.org/officeDocument/2006/relationships/hyperlink" Target="https://hayderecho.com/2012/05/31/el-estado-autonomico-en-el-31-aniversario-del-informe-de-la-comision-de-expertos-sobre-las-autonomia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pr.gob.es/servicios2/publicaciones/vol32/pag_04.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FE084-F98F-4B2B-A733-2AEC97235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7502</Words>
  <Characters>41263</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Manager>Helenio</Manager>
  <Company/>
  <LinksUpToDate>false</LinksUpToDate>
  <CharactersWithSpaces>48668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PC;Helenio Lucas Fernandez</dc:creator>
  <cp:lastModifiedBy>PC</cp:lastModifiedBy>
  <cp:revision>3</cp:revision>
  <dcterms:created xsi:type="dcterms:W3CDTF">2021-10-20T12:33:00Z</dcterms:created>
  <dcterms:modified xsi:type="dcterms:W3CDTF">2021-12-04T10:07:00Z</dcterms:modified>
</cp:coreProperties>
</file>